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0937-2022-EnMS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内蒙古杭萧盛基绿色建筑科技有限公司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vAlign w:val="center"/>
          </w:tcPr>
          <w:p>
            <w:pPr>
              <w:snapToGrid w:val="0"/>
              <w:spacing w:line="0" w:lineRule="atLeast"/>
              <w:jc w:val="center"/>
              <w:rPr>
                <w:sz w:val="22"/>
                <w:szCs w:val="22"/>
              </w:rPr>
            </w:pPr>
            <w:bookmarkStart w:id="4" w:name="机构代码"/>
            <w:r>
              <w:rPr>
                <w:sz w:val="22"/>
                <w:szCs w:val="22"/>
              </w:rPr>
              <w:t>91150123MA0PQL9T3E</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eastAsia="宋体"/>
                <w:sz w:val="22"/>
                <w:szCs w:val="22"/>
              </w:rPr>
              <w:t xml:space="preserve">RB/T </w:t>
            </w:r>
            <w:r>
              <w:rPr>
                <w:rFonts w:hint="eastAsia" w:eastAsia="宋体"/>
                <w:sz w:val="22"/>
                <w:szCs w:val="22"/>
                <w:lang w:val="en-US" w:eastAsia="zh-CN"/>
              </w:rPr>
              <w:t>121-2016能源管理体系 建材（不含水泥、玻璃、陶瓷）认证要求</w:t>
            </w:r>
            <w:r>
              <w:rPr>
                <w:rFonts w:hint="eastAsia" w:eastAsia="宋体"/>
                <w:sz w:val="22"/>
                <w:szCs w:val="22"/>
              </w:rPr>
              <w:t xml:space="preserve"> </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35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内蒙古杭萧盛基绿色建筑科技有限公司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混凝土、干混砂浆的生产所涉及的能源管理活动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内蒙古自治区呼和浩特市和林格尔县姑子板村委会</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内蒙古自治区呼和浩特市和林格尔县姑子板村委会</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内蒙古杭萧盛基绿色建筑科技有限公司</w:t>
      </w:r>
      <w:bookmarkEnd w:id="20"/>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1" w:name="证书编号Add1"/>
      <w:bookmarkEnd w:id="21"/>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内蒙古自治区呼和浩特市和林格尔县姑子板村委会</w:t>
      </w:r>
      <w:bookmarkEnd w:id="22"/>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eastAsia="宋体"/>
          <w:b/>
          <w:color w:val="000000" w:themeColor="text1"/>
          <w:sz w:val="22"/>
          <w:szCs w:val="22"/>
        </w:rPr>
        <w:t xml:space="preserve">RB/T </w:t>
      </w:r>
      <w:r>
        <w:rPr>
          <w:rFonts w:hint="eastAsia" w:eastAsia="宋体"/>
          <w:b/>
          <w:color w:val="000000" w:themeColor="text1"/>
          <w:sz w:val="22"/>
          <w:szCs w:val="22"/>
          <w:lang w:val="en-US" w:eastAsia="zh-CN"/>
        </w:rPr>
        <w:t>121-2016能源管理体系 建材（不含水泥、玻璃、陶瓷）认证要求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08</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15</w:t>
            </w:r>
            <w:r>
              <w:rPr>
                <w:rFonts w:hint="eastAsia"/>
                <w:sz w:val="20"/>
                <w:szCs w:val="22"/>
                <w:u w:val="single"/>
              </w:rPr>
              <w:t>~</w:t>
            </w:r>
            <w:r>
              <w:rPr>
                <w:rFonts w:hint="eastAsia"/>
                <w:sz w:val="20"/>
                <w:szCs w:val="22"/>
                <w:u w:val="single"/>
                <w:lang w:val="en-US" w:eastAsia="zh-CN"/>
              </w:rPr>
              <w:t>16</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hint="eastAsia"/>
                <w:sz w:val="20"/>
                <w:szCs w:val="22"/>
              </w:rPr>
            </w:pPr>
            <w:r>
              <w:rPr>
                <w:rFonts w:hint="eastAsia"/>
                <w:sz w:val="20"/>
                <w:szCs w:val="22"/>
                <w:u w:val="single"/>
                <w:lang w:val="en-US" w:eastAsia="zh-CN"/>
              </w:rPr>
              <w:t>混凝土：</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1日</w:t>
            </w:r>
            <w:r>
              <w:rPr>
                <w:rFonts w:hint="eastAsia"/>
                <w:sz w:val="20"/>
                <w:szCs w:val="22"/>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p>
            <w:pPr>
              <w:pStyle w:val="2"/>
              <w:spacing w:line="400" w:lineRule="exact"/>
              <w:ind w:firstLine="0"/>
              <w:rPr>
                <w:rFonts w:hint="eastAsia" w:eastAsia="宋体"/>
                <w:sz w:val="20"/>
                <w:szCs w:val="22"/>
                <w:lang w:val="en-US" w:eastAsia="zh-CN"/>
              </w:rPr>
            </w:pPr>
            <w:r>
              <w:rPr>
                <w:rFonts w:hint="eastAsia"/>
                <w:color w:val="0000FF"/>
                <w:sz w:val="20"/>
                <w:szCs w:val="22"/>
                <w:lang w:val="en-US" w:eastAsia="zh-CN"/>
              </w:rPr>
              <w:t>砂浆：</w:t>
            </w:r>
            <w:r>
              <w:rPr>
                <w:rFonts w:hint="eastAsia"/>
                <w:color w:val="0000FF"/>
                <w:sz w:val="20"/>
                <w:szCs w:val="22"/>
                <w:u w:val="single"/>
              </w:rPr>
              <w:t>20</w:t>
            </w:r>
            <w:r>
              <w:rPr>
                <w:rFonts w:hint="eastAsia"/>
                <w:color w:val="0000FF"/>
                <w:sz w:val="20"/>
                <w:szCs w:val="22"/>
                <w:u w:val="single"/>
                <w:lang w:val="en-US" w:eastAsia="zh-CN"/>
              </w:rPr>
              <w:t>21</w:t>
            </w:r>
            <w:r>
              <w:rPr>
                <w:rFonts w:hint="eastAsia"/>
                <w:color w:val="0000FF"/>
                <w:sz w:val="20"/>
                <w:szCs w:val="22"/>
              </w:rPr>
              <w:t>年</w:t>
            </w:r>
            <w:r>
              <w:rPr>
                <w:rFonts w:hint="eastAsia"/>
                <w:color w:val="0000FF"/>
                <w:sz w:val="20"/>
                <w:szCs w:val="22"/>
                <w:u w:val="single"/>
                <w:lang w:val="en-US" w:eastAsia="zh-CN"/>
              </w:rPr>
              <w:t>03</w:t>
            </w:r>
            <w:r>
              <w:rPr>
                <w:rFonts w:hint="eastAsia"/>
                <w:color w:val="0000FF"/>
                <w:sz w:val="20"/>
                <w:szCs w:val="22"/>
              </w:rPr>
              <w:t>月</w:t>
            </w:r>
            <w:r>
              <w:rPr>
                <w:rFonts w:hint="eastAsia"/>
                <w:color w:val="0000FF"/>
                <w:sz w:val="20"/>
                <w:szCs w:val="22"/>
                <w:lang w:val="en-US" w:eastAsia="zh-CN"/>
              </w:rPr>
              <w:t>1日</w:t>
            </w:r>
            <w:r>
              <w:rPr>
                <w:rFonts w:hint="eastAsia"/>
                <w:color w:val="0000FF"/>
                <w:sz w:val="20"/>
                <w:szCs w:val="22"/>
              </w:rPr>
              <w:t>至</w:t>
            </w:r>
            <w:r>
              <w:rPr>
                <w:rFonts w:hint="eastAsia"/>
                <w:color w:val="0000FF"/>
                <w:sz w:val="20"/>
                <w:szCs w:val="22"/>
                <w:u w:val="single"/>
              </w:rPr>
              <w:t>20</w:t>
            </w:r>
            <w:r>
              <w:rPr>
                <w:rFonts w:hint="eastAsia"/>
                <w:color w:val="0000FF"/>
                <w:sz w:val="20"/>
                <w:szCs w:val="22"/>
                <w:u w:val="single"/>
                <w:lang w:val="en-US" w:eastAsia="zh-CN"/>
              </w:rPr>
              <w:t>21</w:t>
            </w:r>
            <w:r>
              <w:rPr>
                <w:rFonts w:hint="eastAsia"/>
                <w:color w:val="0000FF"/>
                <w:sz w:val="20"/>
                <w:szCs w:val="22"/>
              </w:rPr>
              <w:t>年</w:t>
            </w:r>
            <w:r>
              <w:rPr>
                <w:rFonts w:hint="eastAsia"/>
                <w:color w:val="0000FF"/>
                <w:sz w:val="20"/>
                <w:szCs w:val="22"/>
                <w:u w:val="single"/>
                <w:lang w:val="en-US" w:eastAsia="zh-CN"/>
              </w:rPr>
              <w:t>12</w:t>
            </w:r>
            <w:r>
              <w:rPr>
                <w:rFonts w:hint="eastAsia"/>
                <w:color w:val="0000FF"/>
                <w:sz w:val="20"/>
                <w:szCs w:val="22"/>
              </w:rPr>
              <w:t>月</w:t>
            </w:r>
            <w:r>
              <w:rPr>
                <w:rFonts w:hint="eastAsia"/>
                <w:color w:val="0000FF"/>
                <w:sz w:val="20"/>
                <w:szCs w:val="22"/>
                <w:u w:val="single"/>
                <w:lang w:val="en-US" w:eastAsia="zh-CN"/>
              </w:rPr>
              <w:t>31</w:t>
            </w:r>
            <w:r>
              <w:rPr>
                <w:rFonts w:hint="eastAsia"/>
                <w:color w:val="0000FF"/>
                <w:sz w:val="20"/>
                <w:szCs w:val="22"/>
              </w:rPr>
              <w:t>日</w:t>
            </w:r>
          </w:p>
        </w:tc>
        <w:tc>
          <w:tcPr>
            <w:tcW w:w="2835" w:type="dxa"/>
            <w:vMerge w:val="restart"/>
          </w:tcPr>
          <w:p>
            <w:pPr>
              <w:pStyle w:val="2"/>
              <w:spacing w:line="320" w:lineRule="exact"/>
              <w:ind w:firstLine="0"/>
              <w:rPr>
                <w:rFonts w:hint="eastAsia"/>
                <w:b/>
                <w:color w:val="000000" w:themeColor="text1"/>
                <w:sz w:val="22"/>
                <w:szCs w:val="22"/>
                <w:lang w:eastAsia="zh-CN"/>
              </w:rPr>
            </w:pPr>
            <w:r>
              <w:rPr>
                <w:rFonts w:hint="eastAsia" w:ascii="宋体" w:hAnsi="宋体"/>
                <w:b/>
                <w:color w:val="000000" w:themeColor="text1"/>
                <w:sz w:val="24"/>
                <w:szCs w:val="24"/>
                <w:lang w:val="en-US" w:eastAsia="zh-CN"/>
              </w:rPr>
              <w:t>边界：</w:t>
            </w:r>
            <w:r>
              <w:rPr>
                <w:rFonts w:hint="eastAsia" w:eastAsia="宋体"/>
                <w:sz w:val="20"/>
                <w:szCs w:val="22"/>
                <w:lang w:val="en-US" w:eastAsia="zh-CN"/>
              </w:rPr>
              <w:t>位于内蒙古自治区呼和浩特市和林格尔县姑子板村委会的内蒙古杭萧盛基绿色建筑科技有限公司；</w:t>
            </w:r>
          </w:p>
          <w:p>
            <w:pPr>
              <w:pStyle w:val="2"/>
              <w:spacing w:line="320" w:lineRule="exact"/>
              <w:ind w:firstLine="0"/>
              <w:rPr>
                <w:rFonts w:hint="eastAsia"/>
                <w:b/>
                <w:color w:val="000000" w:themeColor="text1"/>
                <w:sz w:val="22"/>
                <w:szCs w:val="22"/>
                <w:lang w:val="en-US" w:eastAsia="zh-CN"/>
              </w:rPr>
            </w:pPr>
            <w:r>
              <w:rPr>
                <w:rFonts w:hint="eastAsia"/>
                <w:b/>
                <w:color w:val="000000" w:themeColor="text1"/>
                <w:sz w:val="22"/>
                <w:szCs w:val="22"/>
                <w:lang w:val="en-US" w:eastAsia="zh-CN"/>
              </w:rPr>
              <w:t>主要用能系统：</w:t>
            </w:r>
            <w:r>
              <w:rPr>
                <w:rFonts w:hint="eastAsia" w:eastAsia="宋体"/>
                <w:sz w:val="20"/>
                <w:szCs w:val="22"/>
                <w:lang w:val="en-US" w:eastAsia="zh-CN"/>
              </w:rPr>
              <w:t>2条混凝土生产线、1条砂浆生产线；</w:t>
            </w:r>
          </w:p>
          <w:p>
            <w:pPr>
              <w:pStyle w:val="2"/>
              <w:spacing w:line="320" w:lineRule="exact"/>
              <w:ind w:firstLine="0"/>
              <w:rPr>
                <w:rFonts w:hint="eastAsia"/>
                <w:b/>
                <w:color w:val="000000" w:themeColor="text1"/>
                <w:sz w:val="22"/>
                <w:szCs w:val="22"/>
                <w:lang w:val="en-US" w:eastAsia="zh-CN"/>
              </w:rPr>
            </w:pPr>
            <w:r>
              <w:rPr>
                <w:rFonts w:hint="eastAsia"/>
                <w:b/>
                <w:color w:val="000000" w:themeColor="text1"/>
                <w:sz w:val="22"/>
                <w:szCs w:val="22"/>
                <w:lang w:val="en-US" w:eastAsia="zh-CN"/>
              </w:rPr>
              <w:t>辅助用能系统：</w:t>
            </w:r>
            <w:r>
              <w:rPr>
                <w:rFonts w:hint="eastAsia" w:eastAsia="宋体"/>
                <w:sz w:val="20"/>
                <w:szCs w:val="22"/>
                <w:lang w:val="en-US" w:eastAsia="zh-CN"/>
              </w:rPr>
              <w:t>供电系统、供水系统、空压系统；</w:t>
            </w:r>
          </w:p>
          <w:p>
            <w:pPr>
              <w:pStyle w:val="2"/>
              <w:spacing w:line="320" w:lineRule="exact"/>
              <w:ind w:firstLine="0"/>
              <w:rPr>
                <w:rFonts w:hint="default"/>
                <w:b/>
                <w:color w:val="000000" w:themeColor="text1"/>
                <w:sz w:val="22"/>
                <w:szCs w:val="22"/>
                <w:lang w:val="en-US" w:eastAsia="zh-CN"/>
              </w:rPr>
            </w:pPr>
            <w:r>
              <w:rPr>
                <w:rFonts w:hint="eastAsia"/>
                <w:b/>
                <w:color w:val="000000" w:themeColor="text1"/>
                <w:sz w:val="22"/>
                <w:szCs w:val="22"/>
                <w:lang w:val="en-US" w:eastAsia="zh-CN"/>
              </w:rPr>
              <w:t>附属用能系统：</w:t>
            </w:r>
            <w:r>
              <w:rPr>
                <w:rFonts w:hint="eastAsia" w:eastAsia="宋体"/>
                <w:sz w:val="20"/>
                <w:szCs w:val="22"/>
                <w:lang w:val="en-US" w:eastAsia="zh-CN"/>
              </w:rPr>
              <w:t>办公用电系统、生活用水系统；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lang w:val="en-US" w:eastAsia="zh-CN"/>
              </w:rPr>
            </w:pPr>
            <w:r>
              <w:rPr>
                <w:rFonts w:hint="eastAsia"/>
                <w:b/>
                <w:bCs/>
                <w:sz w:val="20"/>
              </w:rPr>
              <w:t>产量：</w:t>
            </w:r>
            <w:r>
              <w:rPr>
                <w:rFonts w:hint="eastAsia"/>
                <w:b/>
                <w:bCs/>
                <w:sz w:val="20"/>
                <w:lang w:val="en-US" w:eastAsia="zh-CN"/>
              </w:rPr>
              <w:t>混凝土518357m³、砂浆53695.5t；</w:t>
            </w:r>
          </w:p>
          <w:p>
            <w:pPr>
              <w:pStyle w:val="2"/>
              <w:spacing w:line="320" w:lineRule="exact"/>
              <w:ind w:firstLine="0"/>
              <w:rPr>
                <w:rFonts w:hint="default" w:ascii="宋体" w:hAnsi="宋体" w:eastAsia="宋体"/>
                <w:b/>
                <w:color w:val="000000" w:themeColor="text1"/>
                <w:szCs w:val="24"/>
                <w:lang w:val="en-US" w:eastAsia="zh-CN"/>
              </w:rPr>
            </w:pPr>
            <w:r>
              <w:rPr>
                <w:rFonts w:hint="eastAsia"/>
                <w:b/>
                <w:bCs/>
                <w:sz w:val="20"/>
              </w:rPr>
              <w:t>产值（万元）：</w:t>
            </w:r>
            <w:r>
              <w:rPr>
                <w:rFonts w:hint="eastAsia"/>
                <w:b/>
                <w:bCs/>
                <w:sz w:val="20"/>
                <w:lang w:val="en-US" w:eastAsia="zh-CN"/>
              </w:rPr>
              <w:t>混凝土17365.68、砂浆2276.39</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b/>
                <w:bCs/>
                <w:sz w:val="20"/>
                <w:szCs w:val="22"/>
                <w:lang w:val="en-US" w:eastAsia="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b/>
                <w:bCs/>
                <w:sz w:val="20"/>
                <w:szCs w:val="22"/>
                <w:lang w:val="en-US" w:eastAsia="zh-CN"/>
              </w:rPr>
              <w:t>混凝土451.91</w:t>
            </w:r>
          </w:p>
          <w:p>
            <w:pPr>
              <w:pStyle w:val="2"/>
              <w:spacing w:line="320" w:lineRule="exact"/>
              <w:ind w:firstLine="0"/>
              <w:rPr>
                <w:rFonts w:ascii="宋体" w:hAnsi="宋体"/>
                <w:b/>
                <w:color w:val="000000" w:themeColor="text1"/>
                <w:szCs w:val="24"/>
              </w:rPr>
            </w:pPr>
            <w:r>
              <w:rPr>
                <w:rFonts w:hint="eastAsia"/>
                <w:b/>
                <w:bCs/>
                <w:sz w:val="20"/>
                <w:szCs w:val="22"/>
                <w:lang w:val="en-US" w:eastAsia="zh-CN"/>
              </w:rPr>
              <w:t xml:space="preserve">                     砂浆27.62</w:t>
            </w:r>
            <w:bookmarkStart w:id="23" w:name="_GoBack"/>
            <w:bookmarkEnd w:id="23"/>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b/>
                <w:bCs/>
                <w:sz w:val="20"/>
                <w:szCs w:val="22"/>
                <w:lang w:val="en-US" w:eastAsia="zh-CN"/>
              </w:rPr>
            </w:pPr>
            <w:r>
              <w:rPr>
                <w:rFonts w:hint="eastAsia"/>
                <w:b/>
                <w:bCs/>
                <w:sz w:val="20"/>
                <w:szCs w:val="22"/>
              </w:rPr>
              <w:t>单位能耗：</w:t>
            </w:r>
            <w:r>
              <w:rPr>
                <w:rFonts w:hint="eastAsia"/>
                <w:b/>
                <w:bCs/>
                <w:sz w:val="20"/>
                <w:szCs w:val="22"/>
                <w:lang w:val="en-US" w:eastAsia="zh-CN"/>
              </w:rPr>
              <w:t>混凝土单位产品能耗0.87kgce/m³</w:t>
            </w:r>
          </w:p>
          <w:p>
            <w:pPr>
              <w:pStyle w:val="2"/>
              <w:spacing w:line="320" w:lineRule="exact"/>
              <w:ind w:firstLine="0"/>
              <w:rPr>
                <w:rFonts w:hint="eastAsia"/>
                <w:b/>
                <w:bCs/>
                <w:sz w:val="20"/>
                <w:szCs w:val="22"/>
                <w:lang w:val="en-US" w:eastAsia="zh-CN"/>
              </w:rPr>
            </w:pPr>
            <w:r>
              <w:rPr>
                <w:rFonts w:hint="eastAsia"/>
                <w:b/>
                <w:bCs/>
                <w:sz w:val="20"/>
                <w:szCs w:val="22"/>
                <w:lang w:val="en-US" w:eastAsia="zh-CN"/>
              </w:rPr>
              <w:t xml:space="preserve">          砂浆单位产品能耗0.51kgce/t</w:t>
            </w:r>
          </w:p>
          <w:p>
            <w:pPr>
              <w:pStyle w:val="2"/>
              <w:spacing w:line="320" w:lineRule="exact"/>
              <w:ind w:firstLine="0"/>
              <w:rPr>
                <w:rFonts w:hint="default"/>
                <w:b/>
                <w:bCs/>
                <w:sz w:val="20"/>
                <w:szCs w:val="22"/>
                <w:lang w:val="en-US" w:eastAsia="zh-CN"/>
              </w:rPr>
            </w:pPr>
            <w:r>
              <w:rPr>
                <w:rFonts w:hint="eastAsia"/>
                <w:b/>
                <w:bCs/>
                <w:color w:val="0000FF"/>
                <w:sz w:val="20"/>
                <w:szCs w:val="22"/>
                <w:lang w:val="en-US" w:eastAsia="zh-CN"/>
              </w:rPr>
              <w:t xml:space="preserve"> （备注：因运输外包，无法统计运输能耗）</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hOTUxOWU4NmEyZTY3NTg5Zjg0ZDY5NTZmMzA5NGQifQ=="/>
  </w:docVars>
  <w:rsids>
    <w:rsidRoot w:val="00000000"/>
    <w:rsid w:val="07B83B4B"/>
    <w:rsid w:val="0C77789C"/>
    <w:rsid w:val="239460B9"/>
    <w:rsid w:val="74A41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1060</Words>
  <Characters>1663</Characters>
  <Lines>18</Lines>
  <Paragraphs>5</Paragraphs>
  <TotalTime>0</TotalTime>
  <ScaleCrop>false</ScaleCrop>
  <LinksUpToDate>false</LinksUpToDate>
  <CharactersWithSpaces>1878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2022-08-23T02:44:53Z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