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 xml:space="preserve">EMS  </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bookmarkStart w:id="0" w:name="组织名称"/>
            <w:r>
              <w:rPr>
                <w:rFonts w:hint="eastAsia" w:ascii="宋体" w:hAnsi="宋体"/>
                <w:b/>
                <w:bCs/>
                <w:kern w:val="0"/>
                <w:szCs w:val="21"/>
                <w:u w:val="single"/>
              </w:rPr>
              <w:t>邯郸市泰尔体育器材有限公司</w:t>
            </w:r>
            <w:bookmarkEnd w:id="0"/>
            <w:r>
              <w:rPr>
                <w:rFonts w:hint="eastAsia" w:ascii="宋体" w:hAnsi="宋体"/>
                <w:b/>
                <w:bCs/>
                <w:kern w:val="0"/>
                <w:szCs w:val="21"/>
                <w:u w:val="single"/>
              </w:rPr>
              <w:t xml:space="preserve"> </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0"/>
              </w:rPr>
              <w:t>29.12.00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0"/>
              </w:rPr>
              <w:t>29.12.00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b/>
                <w:sz w:val="20"/>
                <w:lang w:eastAsia="zh-CN"/>
              </w:rPr>
            </w:pPr>
            <w:r>
              <w:rPr>
                <w:rFonts w:hint="eastAsia"/>
                <w:b/>
                <w:sz w:val="20"/>
                <w:lang w:eastAsia="zh-CN"/>
              </w:rPr>
              <w:t>远程微信</w:t>
            </w:r>
          </w:p>
          <w:p>
            <w:pPr>
              <w:snapToGrid w:val="0"/>
              <w:spacing w:line="280" w:lineRule="exact"/>
              <w:jc w:val="center"/>
              <w:rPr>
                <w:rFonts w:hint="eastAsia" w:eastAsia="宋体"/>
                <w:b/>
                <w:sz w:val="20"/>
                <w:lang w:eastAsia="zh-CN"/>
              </w:rPr>
            </w:pPr>
            <w:r>
              <w:rPr>
                <w:rFonts w:hint="eastAsia"/>
                <w:b/>
                <w:sz w:val="20"/>
                <w:lang w:eastAsia="zh-CN"/>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rFonts w:hint="eastAsia"/>
                <w:b/>
                <w:sz w:val="20"/>
                <w:lang w:eastAsia="zh-CN"/>
              </w:rPr>
              <w:t>温红玲</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b/>
                <w:sz w:val="20"/>
              </w:rPr>
            </w:pPr>
            <w:r>
              <w:rPr>
                <w:rFonts w:hint="eastAsia" w:ascii="Times New Roman" w:hAnsi="Times New Roman" w:cs="Times New Roman"/>
                <w:b/>
                <w:sz w:val="20"/>
              </w:rPr>
              <w:t>业务洽谈—合同评审--合同签订---采购—采购验证---发货—客户验收----跟踪服务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固废排放；控制措施：管理方案，运行控制；</w:t>
            </w:r>
          </w:p>
          <w:p>
            <w:pPr>
              <w:snapToGrid w:val="0"/>
              <w:spacing w:line="280" w:lineRule="exact"/>
              <w:jc w:val="both"/>
              <w:rPr>
                <w:rFonts w:hint="eastAsia"/>
                <w:b/>
                <w:sz w:val="20"/>
                <w:lang w:eastAsia="zh-CN"/>
              </w:rPr>
            </w:pPr>
            <w:r>
              <w:rPr>
                <w:rFonts w:hint="eastAsia"/>
                <w:b/>
                <w:sz w:val="20"/>
                <w:lang w:eastAsia="zh-CN"/>
              </w:rPr>
              <w:t>火灾；控制措施：管理方案、应急预案、培训及演练；运行控制</w:t>
            </w:r>
          </w:p>
          <w:p>
            <w:pPr>
              <w:snapToGrid w:val="0"/>
              <w:spacing w:line="280" w:lineRule="exact"/>
              <w:jc w:val="both"/>
              <w:rPr>
                <w:rFonts w:hint="eastAsia"/>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7"/>
            <w:vAlign w:val="center"/>
          </w:tcPr>
          <w:p>
            <w:pPr>
              <w:snapToGrid w:val="0"/>
              <w:spacing w:line="280" w:lineRule="exact"/>
              <w:jc w:val="both"/>
              <w:rPr>
                <w:rFonts w:hint="eastAsia"/>
                <w:b/>
                <w:sz w:val="20"/>
              </w:rPr>
            </w:pPr>
            <w:r>
              <w:rPr>
                <w:rFonts w:hint="eastAsia"/>
                <w:b/>
                <w:sz w:val="20"/>
              </w:rPr>
              <w:t>中华人民共和国大气污染防治法</w:t>
            </w:r>
            <w:r>
              <w:rPr>
                <w:rFonts w:hint="eastAsia"/>
                <w:b/>
                <w:sz w:val="20"/>
                <w:lang w:eastAsia="zh-CN"/>
              </w:rPr>
              <w:t>、</w:t>
            </w:r>
            <w:r>
              <w:rPr>
                <w:rFonts w:hint="eastAsia"/>
                <w:b/>
                <w:sz w:val="20"/>
              </w:rPr>
              <w:t>中华人民共和国水法</w:t>
            </w:r>
            <w:r>
              <w:rPr>
                <w:rFonts w:hint="eastAsia"/>
                <w:b/>
                <w:sz w:val="20"/>
                <w:lang w:eastAsia="zh-CN"/>
              </w:rPr>
              <w:t>、</w:t>
            </w:r>
            <w:r>
              <w:rPr>
                <w:rFonts w:hint="eastAsia"/>
                <w:b/>
                <w:sz w:val="20"/>
              </w:rPr>
              <w:t>中华人民共和国水污染防治法</w:t>
            </w:r>
            <w:r>
              <w:rPr>
                <w:rFonts w:hint="eastAsia"/>
                <w:b/>
                <w:sz w:val="20"/>
                <w:lang w:eastAsia="zh-CN"/>
              </w:rPr>
              <w:t>、</w:t>
            </w:r>
            <w:r>
              <w:rPr>
                <w:rFonts w:hint="eastAsia"/>
                <w:b/>
                <w:sz w:val="20"/>
              </w:rPr>
              <w:t>中华人民共和国节约能源法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中华人民共和国固体废物污染环境防治法</w:t>
            </w:r>
          </w:p>
          <w:p>
            <w:pPr>
              <w:snapToGrid w:val="0"/>
              <w:spacing w:line="280" w:lineRule="exact"/>
              <w:jc w:val="both"/>
              <w:rPr>
                <w:rFonts w:hint="eastAsia" w:eastAsia="宋体"/>
                <w:b/>
                <w:sz w:val="20"/>
                <w:lang w:eastAsia="zh-CN"/>
              </w:rPr>
            </w:pPr>
            <w:r>
              <w:rPr>
                <w:rFonts w:hint="eastAsia"/>
                <w:b/>
                <w:sz w:val="20"/>
              </w:rPr>
              <w:t>城市节约用水管理规定</w:t>
            </w:r>
            <w:r>
              <w:rPr>
                <w:rFonts w:hint="eastAsia"/>
                <w:b/>
                <w:sz w:val="20"/>
                <w:lang w:eastAsia="zh-CN"/>
              </w:rPr>
              <w:t>、</w:t>
            </w:r>
            <w:r>
              <w:rPr>
                <w:rFonts w:hint="eastAsia"/>
                <w:b/>
                <w:sz w:val="20"/>
              </w:rPr>
              <w:t>城市生活垃圾管理办法</w:t>
            </w:r>
            <w:r>
              <w:rPr>
                <w:rFonts w:hint="eastAsia"/>
                <w:b/>
                <w:sz w:val="20"/>
                <w:lang w:eastAsia="zh-CN"/>
              </w:rPr>
              <w:t>、中华人民共和国噪声污染防治法等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温红玲</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2022.10.12</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sym w:font="Wingdings 2" w:char="0052"/>
      </w:r>
      <w:r>
        <w:rPr>
          <w:b/>
          <w:sz w:val="22"/>
          <w:szCs w:val="22"/>
        </w:rPr>
        <w:t>OHSMS</w:t>
      </w:r>
    </w:p>
    <w:tbl>
      <w:tblPr>
        <w:tblStyle w:val="5"/>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414"/>
        <w:gridCol w:w="1289"/>
        <w:gridCol w:w="1505"/>
        <w:gridCol w:w="190"/>
        <w:gridCol w:w="1529"/>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ascii="宋体" w:hAnsi="宋体"/>
                <w:b/>
                <w:bCs/>
                <w:kern w:val="0"/>
                <w:szCs w:val="21"/>
                <w:u w:val="single"/>
              </w:rPr>
              <w:t xml:space="preserve">邯郸市泰尔体育器材有限公司 </w:t>
            </w:r>
          </w:p>
        </w:tc>
        <w:tc>
          <w:tcPr>
            <w:tcW w:w="1719"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378" w:type="dxa"/>
            <w:tcBorders>
              <w:top w:val="single" w:color="auto" w:sz="8" w:space="0"/>
            </w:tcBorders>
            <w:vAlign w:val="center"/>
          </w:tcPr>
          <w:p>
            <w:pPr>
              <w:snapToGrid w:val="0"/>
              <w:spacing w:line="280" w:lineRule="exact"/>
              <w:ind w:left="52" w:leftChars="0"/>
              <w:jc w:val="center"/>
              <w:rPr>
                <w:b/>
                <w:sz w:val="20"/>
              </w:rPr>
            </w:pPr>
            <w:r>
              <w:rPr>
                <w:sz w:val="20"/>
              </w:rPr>
              <w:t>29.12.00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3" w:type="dxa"/>
            <w:gridSpan w:val="2"/>
            <w:vAlign w:val="center"/>
          </w:tcPr>
          <w:p>
            <w:pPr>
              <w:snapToGrid w:val="0"/>
              <w:spacing w:line="280" w:lineRule="exact"/>
              <w:jc w:val="center"/>
              <w:rPr>
                <w:b/>
                <w:sz w:val="20"/>
              </w:rPr>
            </w:pPr>
            <w:r>
              <w:rPr>
                <w:rFonts w:hint="eastAsia"/>
                <w:b/>
                <w:sz w:val="20"/>
                <w:lang w:eastAsia="zh-CN"/>
              </w:rPr>
              <w:t>杨园</w:t>
            </w:r>
          </w:p>
        </w:tc>
        <w:tc>
          <w:tcPr>
            <w:tcW w:w="1289"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jc w:val="center"/>
              <w:rPr>
                <w:b/>
                <w:sz w:val="20"/>
              </w:rPr>
            </w:pPr>
            <w:r>
              <w:rPr>
                <w:sz w:val="20"/>
              </w:rPr>
              <w:t>29.12.00</w:t>
            </w:r>
          </w:p>
        </w:tc>
        <w:tc>
          <w:tcPr>
            <w:tcW w:w="1719" w:type="dxa"/>
            <w:gridSpan w:val="2"/>
            <w:vAlign w:val="center"/>
          </w:tcPr>
          <w:p>
            <w:pPr>
              <w:snapToGrid w:val="0"/>
              <w:spacing w:line="280" w:lineRule="exact"/>
              <w:jc w:val="center"/>
              <w:rPr>
                <w:b/>
                <w:sz w:val="22"/>
                <w:szCs w:val="22"/>
              </w:rPr>
            </w:pPr>
            <w:r>
              <w:rPr>
                <w:rFonts w:hint="eastAsia"/>
                <w:b/>
                <w:sz w:val="22"/>
                <w:szCs w:val="22"/>
              </w:rPr>
              <w:t>培训地点</w:t>
            </w:r>
          </w:p>
        </w:tc>
        <w:tc>
          <w:tcPr>
            <w:tcW w:w="1378" w:type="dxa"/>
            <w:vAlign w:val="center"/>
          </w:tcPr>
          <w:p>
            <w:pPr>
              <w:snapToGrid w:val="0"/>
              <w:spacing w:line="280" w:lineRule="exact"/>
              <w:jc w:val="center"/>
              <w:rPr>
                <w:rFonts w:hint="eastAsia"/>
                <w:b/>
                <w:sz w:val="20"/>
                <w:lang w:eastAsia="zh-CN"/>
              </w:rPr>
            </w:pPr>
            <w:r>
              <w:rPr>
                <w:rFonts w:hint="eastAsia"/>
                <w:b/>
                <w:sz w:val="20"/>
                <w:lang w:eastAsia="zh-CN"/>
              </w:rPr>
              <w:t>远程微信</w:t>
            </w:r>
          </w:p>
          <w:p>
            <w:pPr>
              <w:snapToGrid w:val="0"/>
              <w:spacing w:line="280" w:lineRule="exact"/>
              <w:jc w:val="center"/>
              <w:rPr>
                <w:b/>
                <w:sz w:val="20"/>
              </w:rPr>
            </w:pPr>
            <w:r>
              <w:rPr>
                <w:rFonts w:hint="eastAsia"/>
                <w:b/>
                <w:sz w:val="20"/>
                <w:lang w:eastAsia="zh-CN"/>
              </w:rPr>
              <w:t>视频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eastAsia="zh-CN"/>
              </w:rPr>
              <w:t>温红玲</w:t>
            </w:r>
          </w:p>
        </w:tc>
        <w:tc>
          <w:tcPr>
            <w:tcW w:w="1414" w:type="dxa"/>
            <w:vAlign w:val="center"/>
          </w:tcPr>
          <w:p>
            <w:pPr>
              <w:snapToGrid w:val="0"/>
              <w:spacing w:line="360" w:lineRule="exact"/>
              <w:jc w:val="center"/>
              <w:rPr>
                <w:b/>
                <w:sz w:val="20"/>
              </w:rPr>
            </w:pPr>
          </w:p>
        </w:tc>
        <w:tc>
          <w:tcPr>
            <w:tcW w:w="1289" w:type="dxa"/>
            <w:vAlign w:val="center"/>
          </w:tcPr>
          <w:p>
            <w:pPr>
              <w:snapToGrid w:val="0"/>
              <w:spacing w:line="360" w:lineRule="exact"/>
              <w:jc w:val="center"/>
              <w:rPr>
                <w:b/>
                <w:sz w:val="20"/>
              </w:rPr>
            </w:pPr>
          </w:p>
        </w:tc>
        <w:tc>
          <w:tcPr>
            <w:tcW w:w="1505" w:type="dxa"/>
            <w:vAlign w:val="center"/>
          </w:tcPr>
          <w:p>
            <w:pPr>
              <w:snapToGrid w:val="0"/>
              <w:spacing w:line="360" w:lineRule="exact"/>
              <w:jc w:val="center"/>
              <w:rPr>
                <w:b/>
                <w:sz w:val="20"/>
              </w:rPr>
            </w:pPr>
          </w:p>
        </w:tc>
        <w:tc>
          <w:tcPr>
            <w:tcW w:w="1719" w:type="dxa"/>
            <w:gridSpan w:val="2"/>
            <w:vAlign w:val="center"/>
          </w:tcPr>
          <w:p>
            <w:pPr>
              <w:snapToGrid w:val="0"/>
              <w:spacing w:line="360" w:lineRule="exact"/>
              <w:jc w:val="center"/>
              <w:rPr>
                <w:b/>
                <w:sz w:val="20"/>
              </w:rPr>
            </w:pPr>
          </w:p>
        </w:tc>
        <w:tc>
          <w:tcPr>
            <w:tcW w:w="1378"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b/>
                <w:sz w:val="20"/>
              </w:rPr>
            </w:pPr>
            <w:r>
              <w:rPr>
                <w:rFonts w:hint="eastAsia" w:ascii="Times New Roman" w:hAnsi="Times New Roman" w:cs="Times New Roman"/>
                <w:b/>
                <w:sz w:val="20"/>
              </w:rPr>
              <w:t>业务洽谈—合同评审--合同签订---采购—采购验证---发货—客户验收----跟踪服务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7"/>
            <w:vAlign w:val="center"/>
          </w:tcPr>
          <w:p>
            <w:pPr>
              <w:snapToGrid w:val="0"/>
              <w:spacing w:line="280" w:lineRule="exact"/>
              <w:jc w:val="both"/>
              <w:rPr>
                <w:rFonts w:hint="eastAsia"/>
                <w:b/>
                <w:sz w:val="20"/>
                <w:lang w:eastAsia="zh-CN"/>
              </w:rPr>
            </w:pPr>
            <w:r>
              <w:rPr>
                <w:rFonts w:hint="eastAsia"/>
                <w:b/>
                <w:sz w:val="20"/>
                <w:lang w:eastAsia="zh-CN"/>
              </w:rPr>
              <w:t>火灾；控制措施：管理方案、应急预案、培训及演练；运行控制</w:t>
            </w:r>
          </w:p>
          <w:p>
            <w:pPr>
              <w:snapToGrid w:val="0"/>
              <w:spacing w:line="280" w:lineRule="exact"/>
              <w:jc w:val="both"/>
              <w:rPr>
                <w:rFonts w:hint="eastAsia"/>
                <w:b/>
                <w:sz w:val="20"/>
                <w:lang w:eastAsia="zh-CN"/>
              </w:rPr>
            </w:pPr>
            <w:r>
              <w:rPr>
                <w:rFonts w:hint="eastAsia"/>
                <w:b/>
                <w:sz w:val="20"/>
                <w:lang w:eastAsia="zh-CN"/>
              </w:rPr>
              <w:t>触电；控制措施：管理方案、应急预案、培训及演练；运行控制</w:t>
            </w:r>
          </w:p>
          <w:p>
            <w:pPr>
              <w:snapToGrid w:val="0"/>
              <w:spacing w:line="280" w:lineRule="exact"/>
              <w:jc w:val="both"/>
              <w:rPr>
                <w:rFonts w:hint="eastAsia"/>
                <w:b/>
                <w:sz w:val="20"/>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sz w:val="20"/>
                <w:lang w:eastAsia="zh-CN"/>
              </w:rPr>
            </w:pPr>
            <w:r>
              <w:rPr>
                <w:rFonts w:hint="eastAsia"/>
                <w:b/>
                <w:sz w:val="20"/>
              </w:rPr>
              <w:t>中华人民共和国安全生产法</w:t>
            </w:r>
            <w:r>
              <w:rPr>
                <w:rFonts w:hint="eastAsia"/>
                <w:b/>
                <w:sz w:val="20"/>
                <w:lang w:eastAsia="zh-CN"/>
              </w:rPr>
              <w:t>、</w:t>
            </w:r>
            <w:r>
              <w:rPr>
                <w:rFonts w:hint="eastAsia"/>
                <w:b/>
                <w:sz w:val="20"/>
              </w:rPr>
              <w:t>劳动保障监察条例</w:t>
            </w:r>
            <w:r>
              <w:rPr>
                <w:rFonts w:hint="eastAsia"/>
                <w:b/>
                <w:sz w:val="20"/>
                <w:lang w:eastAsia="zh-CN"/>
              </w:rPr>
              <w:t>、</w:t>
            </w:r>
            <w:r>
              <w:rPr>
                <w:rFonts w:hint="eastAsia"/>
                <w:b/>
                <w:sz w:val="20"/>
              </w:rPr>
              <w:t>中华人民共和国传染病防治法</w:t>
            </w:r>
            <w:r>
              <w:rPr>
                <w:rFonts w:hint="eastAsia"/>
                <w:b/>
                <w:sz w:val="20"/>
                <w:lang w:eastAsia="zh-CN"/>
              </w:rPr>
              <w:t>、</w:t>
            </w:r>
            <w:r>
              <w:rPr>
                <w:rFonts w:hint="eastAsia"/>
                <w:b/>
                <w:sz w:val="20"/>
              </w:rPr>
              <w:t>中华人民共和国消防法</w:t>
            </w:r>
            <w:r>
              <w:rPr>
                <w:rFonts w:hint="eastAsia"/>
                <w:b/>
                <w:sz w:val="20"/>
                <w:lang w:eastAsia="zh-CN"/>
              </w:rPr>
              <w:t>、</w:t>
            </w:r>
            <w:r>
              <w:rPr>
                <w:rFonts w:hint="eastAsia"/>
                <w:b/>
                <w:sz w:val="20"/>
              </w:rPr>
              <w:t>工作场所职业卫生监督管理规定</w:t>
            </w:r>
            <w:r>
              <w:rPr>
                <w:rFonts w:hint="eastAsia"/>
                <w:b/>
                <w:sz w:val="20"/>
                <w:lang w:eastAsia="zh-CN"/>
              </w:rPr>
              <w:t>、</w:t>
            </w:r>
            <w:r>
              <w:rPr>
                <w:rFonts w:hint="eastAsia"/>
                <w:b/>
                <w:sz w:val="20"/>
              </w:rPr>
              <w:t>企业职工伤亡事故调查分析规则</w:t>
            </w:r>
            <w:r>
              <w:rPr>
                <w:rFonts w:hint="eastAsia"/>
                <w:b/>
                <w:sz w:val="20"/>
                <w:lang w:eastAsia="zh-CN"/>
              </w:rPr>
              <w:t>、</w:t>
            </w:r>
            <w:r>
              <w:rPr>
                <w:rFonts w:hint="eastAsia"/>
                <w:b/>
                <w:sz w:val="20"/>
              </w:rPr>
              <w:t>突发公共卫生事件应急条例</w:t>
            </w:r>
            <w:r>
              <w:rPr>
                <w:rFonts w:hint="eastAsia"/>
                <w:b/>
                <w:sz w:val="20"/>
                <w:lang w:eastAsia="zh-CN"/>
              </w:rPr>
              <w:t>、</w:t>
            </w:r>
            <w:r>
              <w:rPr>
                <w:rFonts w:hint="eastAsia"/>
                <w:b/>
                <w:sz w:val="20"/>
              </w:rPr>
              <w:t>工作场所有害因素职业接触限值</w:t>
            </w:r>
            <w:r>
              <w:rPr>
                <w:rFonts w:hint="eastAsia"/>
                <w:b/>
                <w:sz w:val="20"/>
                <w:lang w:eastAsia="zh-CN"/>
              </w:rPr>
              <w:t>、河北省实施《工伤保险条例》若干规定</w:t>
            </w:r>
          </w:p>
          <w:p>
            <w:pPr>
              <w:snapToGrid w:val="0"/>
              <w:spacing w:line="280" w:lineRule="exact"/>
              <w:jc w:val="left"/>
              <w:rPr>
                <w:b/>
                <w:sz w:val="20"/>
              </w:rPr>
            </w:pPr>
            <w:r>
              <w:rPr>
                <w:rFonts w:hint="eastAsia"/>
                <w:b/>
                <w:sz w:val="20"/>
                <w:lang w:eastAsia="zh-CN"/>
              </w:rPr>
              <w:t>河北省重大危险源监督管理办法、河北省人民政府关于印发落实生产经营单位安全生产主体责任暂行规定的通知等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7"/>
            <w:vAlign w:val="center"/>
          </w:tcPr>
          <w:p>
            <w:pPr>
              <w:snapToGrid w:val="0"/>
              <w:spacing w:line="280" w:lineRule="exact"/>
              <w:jc w:val="left"/>
              <w:rPr>
                <w:rFonts w:hint="eastAsia" w:eastAsia="宋体"/>
                <w:b/>
                <w:sz w:val="20"/>
                <w:lang w:eastAsia="zh-CN"/>
              </w:rPr>
            </w:pPr>
            <w:r>
              <w:rPr>
                <w:rFonts w:hint="eastAsia"/>
                <w:b/>
                <w:sz w:val="20"/>
                <w:lang w:eastAsia="zh-CN"/>
              </w:rPr>
              <w:t>不适用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both"/>
              <w:rPr>
                <w:rFonts w:hint="eastAsia" w:eastAsia="宋体"/>
                <w:b/>
                <w:sz w:val="20"/>
                <w:lang w:eastAsia="zh-CN"/>
              </w:rPr>
            </w:pPr>
            <w:r>
              <w:rPr>
                <w:rFonts w:hint="eastAsia"/>
                <w:b/>
                <w:sz w:val="20"/>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2"/>
            <w:vAlign w:val="center"/>
          </w:tcPr>
          <w:p>
            <w:pPr>
              <w:snapToGrid w:val="0"/>
              <w:spacing w:line="280" w:lineRule="exact"/>
              <w:jc w:val="center"/>
              <w:rPr>
                <w:rFonts w:hint="eastAsia" w:eastAsia="宋体"/>
                <w:b/>
                <w:sz w:val="20"/>
                <w:lang w:eastAsia="zh-CN"/>
              </w:rPr>
            </w:pPr>
            <w:r>
              <w:rPr>
                <w:rFonts w:hint="eastAsia"/>
                <w:b/>
                <w:sz w:val="20"/>
                <w:lang w:eastAsia="zh-CN"/>
              </w:rPr>
              <w:t>温红玲</w:t>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2022.10.12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2"/>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杨园</w:t>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bookmarkStart w:id="1" w:name="_GoBack"/>
            <w:bookmarkEnd w:id="1"/>
            <w:r>
              <w:rPr>
                <w:rFonts w:hint="eastAsia"/>
                <w:b/>
                <w:sz w:val="20"/>
                <w:lang w:val="en-US" w:eastAsia="zh-CN"/>
              </w:rPr>
              <w:t>2022.10.12</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45" w:firstLineChars="450"/>
      <w:jc w:val="left"/>
      <w:rPr>
        <w:rStyle w:val="10"/>
        <w:rFonts w:hint="default"/>
      </w:rPr>
    </w:pPr>
    <w:r>
      <w:rPr>
        <w:rStyle w:val="10"/>
        <w:rFonts w:hint="default"/>
      </w:rPr>
      <w:drawing>
        <wp:anchor distT="0" distB="0" distL="114300" distR="114300" simplePos="0" relativeHeight="251660288"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900" w:firstLineChars="500"/>
      <w:jc w:val="left"/>
    </w:pPr>
    <w:r>
      <w:pict>
        <v:shape id="文本框 1025" o:spid="_x0000_s2049" o:spt="202" type="#_x0000_t202" style="position:absolute;left:0pt;margin-left:379.65pt;margin-top:2.8pt;height:20.2pt;width:111.8pt;z-index:251659264;mso-width-relative:page;mso-height-relative:page;" fillcolor="#FFFFFF" filled="t" stroked="f" coordsize="21600,21600">
          <v:path/>
          <v:fill on="t"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w:r>
    <w:r>
      <w:rPr>
        <w:rStyle w:val="10"/>
        <w:rFonts w:hint="default"/>
        <w:w w:val="90"/>
      </w:rPr>
      <w:t>Beijing International Standard united Certification Co.,Ltd.</w:t>
    </w:r>
  </w:p>
  <w:p>
    <w:pPr>
      <w:pStyle w:val="4"/>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Mjk5YTFkYjFhYjNiNjIyOTkyMTY0NmZjZDIxZWNjMDcifQ=="/>
  </w:docVars>
  <w:rsids>
    <w:rsidRoot w:val="00000000"/>
    <w:rsid w:val="079D2A13"/>
    <w:rsid w:val="1CC630DB"/>
    <w:rsid w:val="2E1369CC"/>
    <w:rsid w:val="69D4109F"/>
    <w:rsid w:val="6CCC42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批注框文本 Char"/>
    <w:link w:val="2"/>
    <w:semiHidden/>
    <w:qFormat/>
    <w:uiPriority w:val="99"/>
    <w:rPr>
      <w:rFonts w:ascii="Times New Roman" w:hAnsi="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798</Words>
  <Characters>850</Characters>
  <Lines>2</Lines>
  <Paragraphs>1</Paragraphs>
  <TotalTime>0</TotalTime>
  <ScaleCrop>false</ScaleCrop>
  <LinksUpToDate>false</LinksUpToDate>
  <CharactersWithSpaces>854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园园</cp:lastModifiedBy>
  <dcterms:modified xsi:type="dcterms:W3CDTF">2022-10-13T09:12:52Z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2052-11.1.0.12358</vt:lpwstr>
  </property>
</Properties>
</file>