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香河柏宇电器设备有限公司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河北省廊坊市香河县渠口镇店子务村南口</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河北省廊坊市香河县渠口镇店子务村南口</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0944-2022-Q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樊海龙</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13273606360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931343803@qq.com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樊海龙</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钢制操作台的销售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29.10.07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2022年07月27日 上午至2022年07月27日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余家龙</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2020-N1QMS-1262293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29.10.07</w:t>
            </w:r>
          </w:p>
        </w:tc>
        <w:tc>
          <w:tcPr>
            <w:tcW w:w="1393" w:type="dxa"/>
            <w:gridSpan w:val="3"/>
            <w:vAlign w:val="center"/>
          </w:tcPr>
          <w:p w:rsidR="00D25683">
            <w:pPr>
              <w:jc w:val="center"/>
              <w:rPr>
                <w:sz w:val="21"/>
                <w:szCs w:val="21"/>
              </w:rPr>
            </w:pPr>
            <w:r>
              <w:rPr>
                <w:sz w:val="21"/>
                <w:szCs w:val="21"/>
              </w:rPr>
              <w:t>15181072354 17709081193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余家龙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