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7"/>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943"/>
        <w:gridCol w:w="6047"/>
        <w:gridCol w:w="2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浙江利珉环境科技有限公司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ascii="Arial" w:hAnsi="Arial" w:eastAsia="Arial Unicode MS" w:cs="Arial"/>
                <w:b/>
                <w:sz w:val="30"/>
                <w:szCs w:val="30"/>
              </w:rPr>
            </w:pPr>
            <w:bookmarkStart w:id="1" w:name="Q勾选"/>
            <w:r>
              <w:rPr>
                <w:rFonts w:hint="eastAsia"/>
                <w:b/>
                <w:szCs w:val="21"/>
              </w:rPr>
              <w:t>□</w:t>
            </w:r>
            <w:bookmarkEnd w:id="1"/>
            <w:r>
              <w:rPr>
                <w:b/>
                <w:spacing w:val="-2"/>
                <w:szCs w:val="21"/>
              </w:rPr>
              <w:t>QMS</w:t>
            </w:r>
            <w:bookmarkStart w:id="2" w:name="QJ勾选"/>
            <w:r>
              <w:rPr>
                <w:rFonts w:hint="eastAsia"/>
                <w:b/>
                <w:szCs w:val="21"/>
              </w:rPr>
              <w:t>□</w:t>
            </w:r>
            <w:bookmarkEnd w:id="2"/>
            <w:r>
              <w:rPr>
                <w:rFonts w:hint="eastAsia"/>
                <w:b/>
                <w:spacing w:val="-2"/>
                <w:szCs w:val="21"/>
              </w:rPr>
              <w:t>5</w:t>
            </w:r>
            <w:r>
              <w:rPr>
                <w:b/>
                <w:spacing w:val="-2"/>
                <w:szCs w:val="21"/>
              </w:rPr>
              <w:t>0430</w:t>
            </w:r>
            <w:bookmarkStart w:id="3" w:name="E勾选"/>
            <w:r>
              <w:rPr>
                <w:rFonts w:hint="eastAsia"/>
                <w:b/>
                <w:szCs w:val="21"/>
              </w:rPr>
              <w:t>□</w:t>
            </w:r>
            <w:bookmarkEnd w:id="3"/>
            <w:r>
              <w:rPr>
                <w:b/>
                <w:spacing w:val="-2"/>
                <w:szCs w:val="21"/>
              </w:rPr>
              <w:t>EMS</w:t>
            </w:r>
            <w:bookmarkStart w:id="4" w:name="S勾选"/>
            <w:r>
              <w:rPr>
                <w:rFonts w:hint="eastAsia"/>
                <w:b/>
                <w:szCs w:val="21"/>
              </w:rPr>
              <w:t>□</w:t>
            </w:r>
            <w:bookmarkEnd w:id="4"/>
            <w:r>
              <w:rPr>
                <w:b/>
                <w:spacing w:val="-2"/>
                <w:szCs w:val="21"/>
              </w:rPr>
              <w:t>OHSMS</w:t>
            </w:r>
            <w:bookmarkStart w:id="12" w:name="_GoBack"/>
            <w:bookmarkEnd w:id="12"/>
            <w:r>
              <w:rPr>
                <w:rFonts w:hint="eastAsia"/>
                <w:b/>
                <w:szCs w:val="21"/>
                <w:lang w:eastAsia="zh-CN"/>
              </w:rPr>
              <w:t>☑</w:t>
            </w:r>
            <w:r>
              <w:rPr>
                <w:b/>
                <w:spacing w:val="-2"/>
                <w:szCs w:val="21"/>
              </w:rPr>
              <w:t>E</w:t>
            </w:r>
            <w:r>
              <w:rPr>
                <w:rFonts w:hint="eastAsia"/>
                <w:b/>
                <w:spacing w:val="-2"/>
                <w:szCs w:val="21"/>
              </w:rPr>
              <w:t>n</w:t>
            </w:r>
            <w:r>
              <w:rPr>
                <w:b/>
                <w:spacing w:val="-2"/>
                <w:szCs w:val="21"/>
              </w:rPr>
              <w:t>MS</w:t>
            </w:r>
            <w:bookmarkStart w:id="5" w:name="F勾选"/>
            <w:r>
              <w:rPr>
                <w:rFonts w:hint="eastAsia" w:cs="宋体"/>
                <w:b/>
                <w:szCs w:val="21"/>
              </w:rPr>
              <w:t>□</w:t>
            </w:r>
            <w:bookmarkEnd w:id="5"/>
            <w:r>
              <w:rPr>
                <w:rFonts w:hint="eastAsia" w:ascii="宋体" w:hAnsi="宋体"/>
                <w:szCs w:val="21"/>
              </w:rPr>
              <w:t xml:space="preserve">FSMS </w:t>
            </w:r>
            <w:bookmarkStart w:id="6" w:name="H勾选"/>
            <w:r>
              <w:rPr>
                <w:rFonts w:hint="eastAsia" w:cs="宋体"/>
                <w:b/>
                <w:szCs w:val="21"/>
              </w:rPr>
              <w:t>□</w:t>
            </w:r>
            <w:bookmarkEnd w:id="6"/>
            <w:r>
              <w:rPr>
                <w:rFonts w:hint="eastAsia" w:ascii="宋体" w:hAnsi="宋体"/>
                <w:szCs w:val="21"/>
              </w:rPr>
              <w:t>HACCP</w:t>
            </w:r>
          </w:p>
          <w:p>
            <w:bookmarkStart w:id="7" w:name="初审"/>
            <w:r>
              <w:rPr>
                <w:rFonts w:hint="eastAsia"/>
                <w:b/>
                <w:szCs w:val="21"/>
              </w:rPr>
              <w:t>■</w:t>
            </w:r>
            <w:bookmarkEnd w:id="7"/>
            <w:r>
              <w:rPr>
                <w:rFonts w:hint="eastAsia"/>
                <w:b/>
                <w:szCs w:val="21"/>
              </w:rPr>
              <w:t>初审</w:t>
            </w:r>
            <w:r>
              <w:rPr>
                <w:rFonts w:hint="eastAsia"/>
                <w:b/>
                <w:szCs w:val="21"/>
                <w:lang w:eastAsia="zh-CN"/>
              </w:rPr>
              <w:t>☑</w:t>
            </w:r>
            <w:r>
              <w:rPr>
                <w:rFonts w:hint="eastAsia"/>
                <w:b/>
                <w:szCs w:val="21"/>
              </w:rPr>
              <w:t xml:space="preserve">第( </w:t>
            </w:r>
            <w:r>
              <w:rPr>
                <w:rFonts w:hint="eastAsia"/>
                <w:b/>
                <w:szCs w:val="21"/>
                <w:lang w:val="en-US" w:eastAsia="zh-CN"/>
              </w:rPr>
              <w:t>二</w:t>
            </w:r>
            <w:r>
              <w:rPr>
                <w:rFonts w:hint="eastAsia"/>
                <w:b/>
                <w:szCs w:val="21"/>
              </w:rPr>
              <w:t xml:space="preserve"> )阶段审核</w:t>
            </w:r>
            <w:bookmarkStart w:id="8" w:name="再认证勾选"/>
            <w:r>
              <w:rPr>
                <w:rFonts w:hint="eastAsia"/>
                <w:b/>
                <w:szCs w:val="21"/>
              </w:rPr>
              <w:t>□</w:t>
            </w:r>
            <w:bookmarkEnd w:id="8"/>
            <w:r>
              <w:rPr>
                <w:rFonts w:hint="eastAsia"/>
                <w:b/>
                <w:szCs w:val="21"/>
              </w:rPr>
              <w:t>再认证</w:t>
            </w:r>
            <w:bookmarkStart w:id="9" w:name="监督勾选"/>
            <w:r>
              <w:rPr>
                <w:rFonts w:hint="eastAsia"/>
                <w:b/>
                <w:szCs w:val="21"/>
              </w:rPr>
              <w:t>□</w:t>
            </w:r>
            <w:bookmarkEnd w:id="9"/>
            <w:r>
              <w:rPr>
                <w:rFonts w:hint="eastAsia"/>
                <w:b/>
                <w:szCs w:val="21"/>
              </w:rPr>
              <w:t>监督（</w:t>
            </w:r>
            <w:bookmarkStart w:id="10" w:name="监督次数"/>
            <w:bookmarkEnd w:id="10"/>
            <w:r>
              <w:rPr>
                <w:rFonts w:hint="eastAsia"/>
                <w:b/>
                <w:szCs w:val="21"/>
              </w:rPr>
              <w:t>）次□证书转换</w:t>
            </w:r>
            <w:bookmarkStart w:id="11" w:name="特殊审核勾选"/>
            <w:r>
              <w:rPr>
                <w:rFonts w:hint="eastAsia"/>
                <w:b/>
                <w:szCs w:val="21"/>
              </w:rPr>
              <w:t>□</w:t>
            </w:r>
            <w:bookmarkEnd w:id="11"/>
            <w:r>
              <w:rPr>
                <w:rFonts w:hint="eastAsia"/>
                <w:b/>
                <w:szCs w:val="21"/>
              </w:rPr>
              <w:t>特殊审核□其他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6990"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2033"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01" w:hRule="exact"/>
          <w:jc w:val="center"/>
        </w:trPr>
        <w:tc>
          <w:tcPr>
            <w:tcW w:w="900" w:type="dxa"/>
            <w:tcBorders>
              <w:right w:val="single" w:color="auto" w:sz="4" w:space="0"/>
            </w:tcBorders>
            <w:vAlign w:val="center"/>
          </w:tcPr>
          <w:p>
            <w:pPr>
              <w:jc w:val="both"/>
              <w:rPr>
                <w:rFonts w:hint="eastAsia" w:ascii="方正仿宋简体" w:eastAsia="方正仿宋简体"/>
                <w:b/>
                <w:lang w:val="en-US" w:eastAsia="zh-CN"/>
              </w:rPr>
            </w:pPr>
            <w:r>
              <w:rPr>
                <w:rFonts w:hint="eastAsia" w:ascii="方正仿宋简体" w:eastAsia="方正仿宋简体"/>
                <w:b/>
                <w:lang w:val="en-US" w:eastAsia="zh-CN"/>
              </w:rPr>
              <w:t>1</w:t>
            </w:r>
          </w:p>
        </w:tc>
        <w:tc>
          <w:tcPr>
            <w:tcW w:w="6990" w:type="dxa"/>
            <w:gridSpan w:val="2"/>
            <w:tcBorders>
              <w:left w:val="single" w:color="auto" w:sz="4" w:space="0"/>
              <w:right w:val="single" w:color="auto" w:sz="4" w:space="0"/>
            </w:tcBorders>
            <w:vAlign w:val="center"/>
          </w:tcPr>
          <w:p>
            <w:pPr>
              <w:jc w:val="both"/>
              <w:rPr>
                <w:rFonts w:hint="default" w:ascii="方正仿宋简体" w:eastAsia="方正仿宋简体"/>
                <w:b/>
                <w:lang w:val="en-US" w:eastAsia="zh-CN"/>
              </w:rPr>
            </w:pPr>
            <w:r>
              <w:rPr>
                <w:rFonts w:hint="eastAsia"/>
                <w:lang w:val="en-US" w:eastAsia="zh-CN"/>
              </w:rPr>
              <w:t>企业只设定了公司层面的目标，无相关层次的目标，不符合GB/T23331-2022标准6.2“组织应针对其相关职能和层次建立目标，组织应建立能源指标”的要求。</w:t>
            </w:r>
          </w:p>
        </w:tc>
        <w:tc>
          <w:tcPr>
            <w:tcW w:w="2033" w:type="dxa"/>
            <w:tcBorders>
              <w:left w:val="single" w:color="auto" w:sz="4" w:space="0"/>
            </w:tcBorders>
            <w:vAlign w:val="center"/>
          </w:tcPr>
          <w:p>
            <w:pPr>
              <w:jc w:val="center"/>
              <w:rPr>
                <w:rFonts w:ascii="方正仿宋简体" w:eastAsia="方正仿宋简体"/>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rPr>
                <w:rFonts w:hint="eastAsia" w:eastAsia="宋体"/>
                <w:lang w:val="en-US" w:eastAsia="zh-CN"/>
              </w:rPr>
            </w:pPr>
            <w:r>
              <w:rPr>
                <w:rFonts w:hint="eastAsia"/>
                <w:lang w:val="en-US" w:eastAsia="zh-CN"/>
              </w:rPr>
              <w:t>2</w:t>
            </w:r>
          </w:p>
        </w:tc>
        <w:tc>
          <w:tcPr>
            <w:tcW w:w="6990" w:type="dxa"/>
            <w:gridSpan w:val="2"/>
            <w:tcBorders>
              <w:left w:val="single" w:color="auto" w:sz="4" w:space="0"/>
              <w:right w:val="single" w:color="auto" w:sz="4" w:space="0"/>
            </w:tcBorders>
            <w:vAlign w:val="center"/>
          </w:tcPr>
          <w:p>
            <w:pPr>
              <w:rPr>
                <w:rFonts w:hint="default" w:eastAsia="宋体"/>
                <w:lang w:val="en-US" w:eastAsia="zh-CN"/>
              </w:rPr>
            </w:pPr>
            <w:r>
              <w:rPr>
                <w:rFonts w:hint="eastAsia"/>
                <w:lang w:val="en-US" w:eastAsia="zh-CN"/>
              </w:rPr>
              <w:t>能源管理体系的主责部门不明确。总部能耗指标未完成无处落实</w:t>
            </w: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exact"/>
          <w:jc w:val="center"/>
        </w:trPr>
        <w:tc>
          <w:tcPr>
            <w:tcW w:w="900" w:type="dxa"/>
            <w:tcBorders>
              <w:right w:val="single" w:color="auto" w:sz="4" w:space="0"/>
            </w:tcBorders>
            <w:vAlign w:val="center"/>
          </w:tcPr>
          <w:p>
            <w:pPr>
              <w:rPr>
                <w:rFonts w:hint="eastAsia" w:eastAsia="宋体"/>
                <w:lang w:val="en-US" w:eastAsia="zh-CN"/>
              </w:rPr>
            </w:pPr>
            <w:r>
              <w:rPr>
                <w:rFonts w:hint="eastAsia"/>
                <w:lang w:val="en-US" w:eastAsia="zh-CN"/>
              </w:rPr>
              <w:t>3</w:t>
            </w:r>
          </w:p>
        </w:tc>
        <w:tc>
          <w:tcPr>
            <w:tcW w:w="6990" w:type="dxa"/>
            <w:gridSpan w:val="2"/>
            <w:tcBorders>
              <w:left w:val="single" w:color="auto" w:sz="4" w:space="0"/>
              <w:right w:val="single" w:color="auto" w:sz="4" w:space="0"/>
            </w:tcBorders>
            <w:vAlign w:val="center"/>
          </w:tcPr>
          <w:p>
            <w:pPr>
              <w:rPr>
                <w:rFonts w:hint="default" w:eastAsia="宋体"/>
                <w:lang w:val="en-US" w:eastAsia="zh-CN"/>
              </w:rPr>
            </w:pPr>
            <w:r>
              <w:rPr>
                <w:rFonts w:hint="eastAsia"/>
                <w:lang w:val="en-US" w:eastAsia="zh-CN"/>
              </w:rPr>
              <w:t>项目部(总部）2021年的能耗指标未完成，未提供原因分析及整改措施，2021年和2022年1-6月总部的指标未完成，也未提供原因分析及整改措施。</w:t>
            </w: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6" w:hRule="exact"/>
          <w:jc w:val="center"/>
        </w:trPr>
        <w:tc>
          <w:tcPr>
            <w:tcW w:w="900" w:type="dxa"/>
            <w:tcBorders>
              <w:right w:val="single" w:color="auto" w:sz="4" w:space="0"/>
            </w:tcBorders>
            <w:vAlign w:val="center"/>
          </w:tcPr>
          <w:p>
            <w:pPr>
              <w:rPr>
                <w:rFonts w:hint="eastAsia" w:eastAsia="宋体"/>
                <w:lang w:val="en-US" w:eastAsia="zh-CN"/>
              </w:rPr>
            </w:pPr>
            <w:r>
              <w:rPr>
                <w:rFonts w:hint="eastAsia"/>
                <w:lang w:val="en-US" w:eastAsia="zh-CN"/>
              </w:rPr>
              <w:t>4</w:t>
            </w:r>
          </w:p>
        </w:tc>
        <w:tc>
          <w:tcPr>
            <w:tcW w:w="6990" w:type="dxa"/>
            <w:gridSpan w:val="2"/>
            <w:tcBorders>
              <w:left w:val="single" w:color="auto" w:sz="4" w:space="0"/>
              <w:right w:val="single" w:color="auto" w:sz="4" w:space="0"/>
            </w:tcBorders>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2021年能源基准：总部单位面积能耗1.83kgce/㎡a和项目部单位面积能耗0.063kgce/㎡a;2022年能源基准：总部单位面积能耗2.46kgce/㎡a和项目部单位面积能耗0.1125kgce/㎡a;由数据看出能源基准发生变化未提供对能源基准进行调整的文件化证据。</w:t>
            </w: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5</w:t>
            </w:r>
          </w:p>
        </w:tc>
        <w:tc>
          <w:tcPr>
            <w:tcW w:w="6990" w:type="dxa"/>
            <w:gridSpan w:val="2"/>
            <w:tcBorders>
              <w:left w:val="single" w:color="auto" w:sz="4" w:space="0"/>
              <w:right w:val="single" w:color="auto" w:sz="4" w:space="0"/>
            </w:tcBorders>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没能将《RB/T104-2013交通运输企业能源管理体系认证要求》在公司的能源管理手册中进行描述。EnMS/7.5。</w:t>
            </w: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7" w:hRule="exact"/>
          <w:jc w:val="center"/>
        </w:trPr>
        <w:tc>
          <w:tcPr>
            <w:tcW w:w="900" w:type="dxa"/>
            <w:tcBorders>
              <w:right w:val="single" w:color="auto" w:sz="4" w:space="0"/>
            </w:tcBorders>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6</w:t>
            </w:r>
          </w:p>
        </w:tc>
        <w:tc>
          <w:tcPr>
            <w:tcW w:w="6990" w:type="dxa"/>
            <w:gridSpan w:val="2"/>
            <w:tcBorders>
              <w:left w:val="single" w:color="auto" w:sz="4" w:space="0"/>
              <w:right w:val="single" w:color="auto" w:sz="4" w:space="0"/>
            </w:tcBorders>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没能</w:t>
            </w:r>
            <w:r>
              <w:rPr>
                <w:rFonts w:hint="eastAsia" w:ascii="Times New Roman" w:hAnsi="Times New Roman" w:cs="Times New Roman"/>
                <w:lang w:val="en-US" w:eastAsia="zh-CN"/>
              </w:rPr>
              <w:t>通知</w:t>
            </w:r>
            <w:r>
              <w:rPr>
                <w:rFonts w:hint="default" w:ascii="Times New Roman" w:hAnsi="Times New Roman" w:cs="Times New Roman"/>
                <w:lang w:val="en-US" w:eastAsia="zh-CN"/>
              </w:rPr>
              <w:t>合格供应商“烟台海德专用汽车有限公司”能源绩效是</w:t>
            </w:r>
            <w:r>
              <w:rPr>
                <w:rFonts w:hint="eastAsia" w:ascii="Times New Roman" w:hAnsi="Times New Roman" w:cs="Times New Roman"/>
                <w:lang w:val="en-US" w:eastAsia="zh-CN"/>
              </w:rPr>
              <w:t>公司</w:t>
            </w:r>
            <w:r>
              <w:rPr>
                <w:rFonts w:hint="default" w:ascii="Times New Roman" w:hAnsi="Times New Roman" w:cs="Times New Roman"/>
                <w:lang w:val="en-US" w:eastAsia="zh-CN"/>
              </w:rPr>
              <w:t>采购的评价标准之一。EnMS/8.3</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w:t>
            </w: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7</w:t>
            </w:r>
          </w:p>
        </w:tc>
        <w:tc>
          <w:tcPr>
            <w:tcW w:w="6990" w:type="dxa"/>
            <w:gridSpan w:val="2"/>
            <w:tcBorders>
              <w:left w:val="single" w:color="auto" w:sz="4" w:space="0"/>
              <w:right w:val="single" w:color="auto" w:sz="4" w:space="0"/>
            </w:tcBorders>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没能提供对财务部进行内部审核</w:t>
            </w:r>
            <w:r>
              <w:rPr>
                <w:rFonts w:hint="eastAsia" w:ascii="Times New Roman" w:hAnsi="Times New Roman" w:cs="Times New Roman"/>
                <w:lang w:val="en-US" w:eastAsia="zh-CN"/>
              </w:rPr>
              <w:t>较为详细</w:t>
            </w:r>
            <w:r>
              <w:rPr>
                <w:rFonts w:hint="default" w:ascii="Times New Roman" w:hAnsi="Times New Roman" w:cs="Times New Roman"/>
                <w:lang w:val="en-US" w:eastAsia="zh-CN"/>
              </w:rPr>
              <w:t>的检查</w:t>
            </w:r>
            <w:r>
              <w:rPr>
                <w:rFonts w:hint="eastAsia" w:ascii="Times New Roman" w:hAnsi="Times New Roman" w:cs="Times New Roman"/>
                <w:lang w:val="en-US" w:eastAsia="zh-CN"/>
              </w:rPr>
              <w:t>证据</w:t>
            </w:r>
            <w:r>
              <w:rPr>
                <w:rFonts w:hint="default" w:ascii="Times New Roman" w:hAnsi="Times New Roman" w:cs="Times New Roman"/>
                <w:lang w:val="en-US" w:eastAsia="zh-CN"/>
              </w:rPr>
              <w:t>。EnMS/9.2.2。</w:t>
            </w: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8</w:t>
            </w:r>
          </w:p>
        </w:tc>
        <w:tc>
          <w:tcPr>
            <w:tcW w:w="6990" w:type="dxa"/>
            <w:gridSpan w:val="2"/>
            <w:tcBorders>
              <w:left w:val="single" w:color="auto" w:sz="4" w:space="0"/>
              <w:right w:val="single" w:color="auto" w:sz="4" w:space="0"/>
            </w:tcBorders>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没能提供公司《能源管理手册》《能源程序文件》的分发证据。EnMS/7.5.3</w:t>
            </w:r>
            <w:r>
              <w:rPr>
                <w:rFonts w:hint="eastAsia" w:ascii="Times New Roman" w:hAnsi="Times New Roman" w:cs="Times New Roman"/>
                <w:lang w:val="en-US" w:eastAsia="zh-CN"/>
              </w:rPr>
              <w:t>。</w:t>
            </w: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7" w:hRule="exact"/>
          <w:jc w:val="center"/>
        </w:trPr>
        <w:tc>
          <w:tcPr>
            <w:tcW w:w="900" w:type="dxa"/>
            <w:tcBorders>
              <w:right w:val="single" w:color="auto" w:sz="4" w:space="0"/>
            </w:tcBorders>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9</w:t>
            </w:r>
          </w:p>
        </w:tc>
        <w:tc>
          <w:tcPr>
            <w:tcW w:w="6990" w:type="dxa"/>
            <w:gridSpan w:val="2"/>
            <w:tcBorders>
              <w:left w:val="single" w:color="auto" w:sz="4" w:space="0"/>
              <w:right w:val="single" w:color="auto" w:sz="4" w:space="0"/>
            </w:tcBorders>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查阅公司《2021年度培训计划》与《培训记录》，没能提供“2021年11月11日</w:t>
            </w:r>
            <w:r>
              <w:rPr>
                <w:rFonts w:hint="eastAsia" w:ascii="Times New Roman" w:hAnsi="Times New Roman" w:cs="Times New Roman"/>
                <w:lang w:val="en-US" w:eastAsia="zh-CN"/>
              </w:rPr>
              <w:tab/>
            </w:r>
            <w:r>
              <w:rPr>
                <w:rFonts w:hint="eastAsia" w:ascii="Times New Roman" w:hAnsi="Times New Roman" w:cs="Times New Roman"/>
                <w:lang w:val="en-US" w:eastAsia="zh-CN"/>
              </w:rPr>
              <w:t xml:space="preserve">内审员培训”的培训记录及培训效果的评价的较为明晰的相关证据。EnMS/7.2  问题。 </w:t>
            </w: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exact"/>
          <w:jc w:val="center"/>
        </w:trPr>
        <w:tc>
          <w:tcPr>
            <w:tcW w:w="900" w:type="dxa"/>
            <w:tcBorders>
              <w:right w:val="single" w:color="auto" w:sz="4" w:space="0"/>
            </w:tcBorders>
            <w:vAlign w:val="center"/>
          </w:tcPr>
          <w:p>
            <w:pPr>
              <w:rPr>
                <w:rFonts w:hint="default" w:ascii="Times New Roman" w:hAnsi="Times New Roman" w:cs="Times New Roman"/>
                <w:lang w:val="en-US" w:eastAsia="zh-CN"/>
              </w:rPr>
            </w:pPr>
            <w:r>
              <w:rPr>
                <w:rFonts w:hint="eastAsia" w:ascii="Times New Roman" w:hAnsi="Times New Roman" w:cs="Times New Roman"/>
                <w:lang w:val="en-US" w:eastAsia="zh-CN"/>
              </w:rPr>
              <w:t>10</w:t>
            </w:r>
          </w:p>
        </w:tc>
        <w:tc>
          <w:tcPr>
            <w:tcW w:w="6990" w:type="dxa"/>
            <w:gridSpan w:val="2"/>
            <w:tcBorders>
              <w:left w:val="single" w:color="auto" w:sz="4" w:space="0"/>
              <w:right w:val="single" w:color="auto" w:sz="4" w:space="0"/>
            </w:tcBorders>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公司《能源管理手册》中“5.3 组织的岗位、职责和权限”没能对部门的职责进行描述。</w:t>
            </w: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bl>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sz w:val="18"/>
      </w:rPr>
    </w:pPr>
    <w:r>
      <w:drawing>
        <wp:anchor distT="0" distB="0" distL="114300" distR="114300" simplePos="0" relativeHeight="251660288" behindDoc="0" locked="0" layoutInCell="1" allowOverlap="1">
          <wp:simplePos x="0" y="0"/>
          <wp:positionH relativeFrom="column">
            <wp:posOffset>-57150</wp:posOffset>
          </wp:positionH>
          <wp:positionV relativeFrom="paragraph">
            <wp:posOffset>-56515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5003800</wp:posOffset>
              </wp:positionH>
              <wp:positionV relativeFrom="paragraph">
                <wp:posOffset>144145</wp:posOffset>
              </wp:positionV>
              <wp:extent cx="1216025" cy="252730"/>
              <wp:effectExtent l="0" t="0" r="3175" b="1270"/>
              <wp:wrapNone/>
              <wp:docPr id="1" name="文本框 1"/>
              <wp:cNvGraphicFramePr/>
              <a:graphic xmlns:a="http://schemas.openxmlformats.org/drawingml/2006/main">
                <a:graphicData uri="http://schemas.microsoft.com/office/word/2010/wordprocessingShape">
                  <wps:wsp>
                    <wps:cNvSpPr txBox="1"/>
                    <wps:spPr>
                      <a:xfrm>
                        <a:off x="0" y="0"/>
                        <a:ext cx="1216025" cy="252730"/>
                      </a:xfrm>
                      <a:prstGeom prst="rect">
                        <a:avLst/>
                      </a:prstGeom>
                      <a:solidFill>
                        <a:srgbClr val="FFFFFF"/>
                      </a:solidFill>
                      <a:ln>
                        <a:noFill/>
                      </a:ln>
                    </wps:spPr>
                    <wps:txbx>
                      <w:txbxContent>
                        <w:p>
                          <w:pPr>
                            <w:rPr>
                              <w:sz w:val="18"/>
                              <w:szCs w:val="18"/>
                            </w:rPr>
                          </w:pPr>
                          <w:r>
                            <w:rPr>
                              <w:rFonts w:hint="eastAsia"/>
                              <w:sz w:val="18"/>
                              <w:szCs w:val="18"/>
                            </w:rPr>
                            <w:t>ISC-B-II-18(05版）</w:t>
                          </w:r>
                        </w:p>
                      </w:txbxContent>
                    </wps:txbx>
                    <wps:bodyPr upright="1"/>
                  </wps:wsp>
                </a:graphicData>
              </a:graphic>
            </wp:anchor>
          </w:drawing>
        </mc:Choice>
        <mc:Fallback>
          <w:pict>
            <v:shape id="_x0000_s1026" o:spid="_x0000_s1026" o:spt="202" type="#_x0000_t202" style="position:absolute;left:0pt;margin-left:394pt;margin-top:11.35pt;height:19.9pt;width:95.75pt;z-index:251659264;mso-width-relative:page;mso-height-relative:page;" fillcolor="#FFFFFF" filled="t" stroked="f" coordsize="21600,21600" o:gfxdata="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K9d5HXAAAACQEAAA8AAAAAAAAAAQAgAAAAIgAAAGRycy9kb3ducmV2Lnht&#10;bFBLAQIUABQAAAAIAIdO4kDNm0ECwQEAAHcDAAAOAAAAAAAAAAEAIAAAACYBAABkcnMvZTJvRG9j&#10;LnhtbFBLBQYAAAAABgAGAFkBAABZBQAAAAA=&#10;">
              <v:fill on="t" focussize="0,0"/>
              <v:stroke on="f"/>
              <v:imagedata o:title=""/>
              <o:lock v:ext="edit" aspectratio="f"/>
              <v:textbox>
                <w:txbxContent>
                  <w:p>
                    <w:pPr>
                      <w:rPr>
                        <w:sz w:val="18"/>
                        <w:szCs w:val="18"/>
                      </w:rPr>
                    </w:pPr>
                    <w:r>
                      <w:rPr>
                        <w:rFonts w:hint="eastAsia"/>
                        <w:sz w:val="18"/>
                        <w:szCs w:val="18"/>
                      </w:rPr>
                      <w:t>ISC-B-II-18(05版）</w:t>
                    </w:r>
                  </w:p>
                </w:txbxContent>
              </v:textbox>
            </v:shape>
          </w:pict>
        </mc:Fallback>
      </mc:AlternateContent>
    </w:r>
    <w:r>
      <w:rPr>
        <w:rStyle w:val="11"/>
        <w:rFonts w:hint="default"/>
        <w:sz w:val="18"/>
      </w:rPr>
      <w:t>北京国标联合认证有限公司</w:t>
    </w:r>
    <w:r>
      <w:rPr>
        <w:rStyle w:val="11"/>
        <w:rFonts w:hint="default"/>
        <w:sz w:val="18"/>
      </w:rPr>
      <w:tab/>
    </w:r>
    <w:r>
      <w:rPr>
        <w:rStyle w:val="11"/>
        <w:rFonts w:hint="default"/>
        <w:sz w:val="18"/>
      </w:rPr>
      <w:tab/>
    </w:r>
    <w:r>
      <w:rPr>
        <w:rStyle w:val="11"/>
        <w:rFonts w:hint="default"/>
        <w:sz w:val="18"/>
      </w:rPr>
      <w:tab/>
    </w:r>
  </w:p>
  <w:p>
    <w:pPr>
      <w:pStyle w:val="5"/>
      <w:pBdr>
        <w:bottom w:val="single" w:color="auto" w:sz="4" w:space="1"/>
      </w:pBdr>
      <w:spacing w:line="320" w:lineRule="exact"/>
      <w:ind w:firstLine="727" w:firstLineChars="449"/>
      <w:jc w:val="left"/>
    </w:pPr>
    <w:r>
      <w:rPr>
        <w:rStyle w:val="11"/>
        <w:rFonts w:hint="default"/>
        <w:w w:val="90"/>
        <w:sz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lowerLetter"/>
      <w:pStyle w:val="12"/>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cs="Times New Roman"/>
      </w:rPr>
    </w:lvl>
    <w:lvl w:ilvl="2" w:tentative="0">
      <w:start w:val="1"/>
      <w:numFmt w:val="decimal"/>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41399"/>
    <w:rsid w:val="17D02A98"/>
    <w:rsid w:val="2CDC06FE"/>
    <w:rsid w:val="56D76AF7"/>
    <w:rsid w:val="61225B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sz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kern w:val="2"/>
      <w:sz w:val="18"/>
      <w:szCs w:val="18"/>
    </w:rPr>
  </w:style>
  <w:style w:type="character" w:customStyle="1" w:styleId="10">
    <w:name w:val="页脚 Char"/>
    <w:basedOn w:val="8"/>
    <w:link w:val="4"/>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字母编号列项（一级）"/>
    <w:qFormat/>
    <w:uiPriority w:val="0"/>
    <w:pPr>
      <w:numPr>
        <w:ilvl w:val="0"/>
        <w:numId w:val="1"/>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28</Words>
  <Characters>165</Characters>
  <Lines>1</Lines>
  <Paragraphs>1</Paragraphs>
  <TotalTime>0</TotalTime>
  <ScaleCrop>false</ScaleCrop>
  <LinksUpToDate>false</LinksUpToDate>
  <CharactersWithSpaces>192</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开门大吉～ISO认证服务</cp:lastModifiedBy>
  <dcterms:modified xsi:type="dcterms:W3CDTF">2022-08-02T11:55:57Z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B8CDE6F3868D4BD896C807BDC0ACB969</vt:lpwstr>
  </property>
  <property fmtid="{D5CDD505-2E9C-101B-9397-08002B2CF9AE}" pid="3" name="KSOProductBuildVer">
    <vt:lpwstr>2052-11.1.0.11435</vt:lpwstr>
  </property>
</Properties>
</file>