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0910-2021-EO-2022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四川弘毅兴物业管理有限公司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四川弘毅兴物业管理有限公司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成都市双流区东升街道花月西街65号</w:t>
            </w:r>
            <w:bookmarkEnd w:id="6"/>
          </w:p>
        </w:tc>
        <w:tc>
          <w:tcPr>
            <w:tcW w:w="1242" w:type="dxa"/>
            <w:vMerge w:val="restart"/>
            <w:vAlign w:val="center"/>
          </w:tcPr>
          <w:p>
            <w:r>
              <w:rPr>
                <w:rFonts w:hint="eastAsia"/>
              </w:rPr>
              <w:t>邮编</w:t>
            </w:r>
          </w:p>
        </w:tc>
        <w:tc>
          <w:tcPr>
            <w:tcW w:w="1771" w:type="dxa"/>
          </w:tcPr>
          <w:p>
            <w:bookmarkStart w:id="7" w:name="注册邮编"/>
            <w:r>
              <w:t>610200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成都市双流区东升街道五洞桥北路一段28号墨香1栋9楼</w:t>
            </w:r>
            <w:bookmarkEnd w:id="8"/>
          </w:p>
        </w:tc>
        <w:tc>
          <w:tcPr>
            <w:tcW w:w="1242" w:type="dxa"/>
            <w:vMerge w:val="continue"/>
            <w:vAlign w:val="center"/>
          </w:tcPr>
          <w:p/>
        </w:tc>
        <w:tc>
          <w:tcPr>
            <w:tcW w:w="1771" w:type="dxa"/>
          </w:tcPr>
          <w:p>
            <w:bookmarkStart w:id="9" w:name="办公邮编"/>
            <w:r>
              <w:t>610200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伍飞</w:t>
            </w:r>
            <w:bookmarkEnd w:id="10"/>
          </w:p>
        </w:tc>
        <w:tc>
          <w:tcPr>
            <w:tcW w:w="1313" w:type="dxa"/>
            <w:vAlign w:val="center"/>
          </w:tcPr>
          <w:p>
            <w:r>
              <w:rPr>
                <w:rFonts w:hint="eastAsia"/>
              </w:rPr>
              <w:t>电话.</w:t>
            </w:r>
          </w:p>
        </w:tc>
        <w:tc>
          <w:tcPr>
            <w:tcW w:w="2180" w:type="dxa"/>
            <w:vAlign w:val="center"/>
          </w:tcPr>
          <w:p>
            <w:bookmarkStart w:id="11" w:name="联系人电话"/>
            <w:r>
              <w:t>13881762986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彭丽娜</w:t>
            </w:r>
            <w:bookmarkEnd w:id="13"/>
          </w:p>
        </w:tc>
        <w:tc>
          <w:tcPr>
            <w:tcW w:w="1313" w:type="dxa"/>
            <w:vAlign w:val="center"/>
          </w:tcPr>
          <w:p>
            <w:r>
              <w:rPr>
                <w:rFonts w:hint="eastAsia"/>
              </w:rPr>
              <w:t>管理者代表</w:t>
            </w:r>
          </w:p>
        </w:tc>
        <w:tc>
          <w:tcPr>
            <w:tcW w:w="2180" w:type="dxa"/>
          </w:tcPr>
          <w:p>
            <w:bookmarkStart w:id="14" w:name="管理者代表"/>
            <w:r>
              <w:t>毛彦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40" w:lineRule="auto"/>
              <w:rPr>
                <w:rFonts w:hint="eastAsia"/>
                <w:sz w:val="21"/>
                <w:szCs w:val="21"/>
              </w:rPr>
            </w:pPr>
            <w:r>
              <w:rPr>
                <w:rFonts w:hint="eastAsia" w:ascii="宋体" w:hAnsi="宋体"/>
                <w:sz w:val="21"/>
                <w:szCs w:val="21"/>
              </w:rPr>
              <w:t>清</w:t>
            </w:r>
            <w:r>
              <w:rPr>
                <w:rFonts w:hint="eastAsia"/>
                <w:sz w:val="21"/>
                <w:szCs w:val="21"/>
              </w:rPr>
              <w:t>运服务流程：</w:t>
            </w:r>
          </w:p>
          <w:p>
            <w:pPr>
              <w:spacing w:line="240" w:lineRule="auto"/>
              <w:rPr>
                <w:rFonts w:hint="eastAsia"/>
                <w:sz w:val="21"/>
                <w:szCs w:val="21"/>
                <w:lang w:eastAsia="zh-CN"/>
              </w:rPr>
            </w:pPr>
            <w:r>
              <w:rPr>
                <w:rFonts w:hint="eastAsia"/>
                <w:sz w:val="21"/>
                <w:szCs w:val="21"/>
              </w:rPr>
              <w:t>项目投标策划和获得管理合同—业主交接垃圾桶点位—垃圾清运—业主考核—跟踪改进</w:t>
            </w:r>
            <w:r>
              <w:rPr>
                <w:rFonts w:hint="eastAsia"/>
                <w:sz w:val="21"/>
                <w:szCs w:val="21"/>
                <w:lang w:eastAsia="zh-CN"/>
              </w:rPr>
              <w:t>。</w:t>
            </w:r>
          </w:p>
          <w:p>
            <w:pPr>
              <w:spacing w:line="240" w:lineRule="auto"/>
              <w:rPr>
                <w:rFonts w:hint="eastAsia"/>
                <w:sz w:val="21"/>
                <w:szCs w:val="21"/>
              </w:rPr>
            </w:pPr>
            <w:r>
              <w:rPr>
                <w:rFonts w:hint="eastAsia"/>
                <w:sz w:val="21"/>
                <w:szCs w:val="21"/>
              </w:rPr>
              <w:t>清扫保洁服务流程：</w:t>
            </w:r>
          </w:p>
          <w:p>
            <w:r>
              <w:rPr>
                <w:rFonts w:hint="eastAsia"/>
                <w:sz w:val="21"/>
                <w:szCs w:val="21"/>
              </w:rPr>
              <w:t>项目投标策划和获得管理合同—交接道路段面—道路清扫保洁服务—检查—整改—复检</w:t>
            </w:r>
            <w:r>
              <w:rPr>
                <w:rFonts w:hint="eastAsia"/>
                <w:sz w:val="21"/>
                <w:szCs w:val="21"/>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2022年08月24日 上午至2022年08月24日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E：许可范围内环境卫生作业（市政设施保洁、道路保洁、雨篦子清掏）、道路环卫清扫保洁、垃圾清运服务所涉及场所的相关环境管理活动。</w:t>
            </w:r>
          </w:p>
          <w:p>
            <w:r>
              <w:t>O：许可范围内环境卫生作业（市政设施保洁、道路保洁、雨篦子清掏）道路环卫清扫保洁、垃圾清运服务所涉及场所的相关职业健康安全管理活动。</w:t>
            </w:r>
          </w:p>
          <w:p>
            <w:r>
              <w:t>Q：许可范围内环境卫生作业（市政设施保洁、道路保洁、雨篦子清掏）、道路环卫清扫保洁、垃圾清运服务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E：31.04.01;35.16.01;35.16.03</w:t>
            </w:r>
          </w:p>
          <w:p>
            <w:r>
              <w:t>O：31.04.01;35.16.01;35.16.03</w:t>
            </w:r>
          </w:p>
          <w:p>
            <w:r>
              <w:t>Q：31.04.01;35.16.01;35.16.03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2020年4月1日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lang w:val="en-US" w:eastAsia="zh-CN"/>
              </w:rPr>
              <w:t>Q</w:t>
            </w:r>
            <w:r>
              <w:rPr>
                <w:rFonts w:hint="eastAsia"/>
              </w:rPr>
              <w:t>有效至</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w:t>
            </w:r>
          </w:p>
          <w:p>
            <w:r>
              <w:rPr>
                <w:rFonts w:hint="eastAsia"/>
                <w:lang w:val="en-US" w:eastAsia="zh-CN"/>
              </w:rPr>
              <w:t>EO</w:t>
            </w:r>
            <w:r>
              <w:rPr>
                <w:rFonts w:hint="eastAsia"/>
              </w:rPr>
              <w:t>有效至</w:t>
            </w:r>
            <w:r>
              <w:rPr>
                <w:rFonts w:hint="eastAsia"/>
                <w:lang w:val="en-US" w:eastAsia="zh-CN"/>
              </w:rPr>
              <w:t>2024</w:t>
            </w:r>
            <w:r>
              <w:rPr>
                <w:rFonts w:hint="eastAsia"/>
              </w:rPr>
              <w:t>年</w:t>
            </w:r>
            <w:r>
              <w:rPr>
                <w:rFonts w:hint="eastAsia"/>
                <w:lang w:val="en-US" w:eastAsia="zh-CN"/>
              </w:rPr>
              <w:t>09</w:t>
            </w:r>
            <w:r>
              <w:rPr>
                <w:rFonts w:hint="eastAsia"/>
              </w:rPr>
              <w:t>月</w:t>
            </w:r>
            <w:r>
              <w:rPr>
                <w:rFonts w:hint="eastAsia"/>
                <w:lang w:val="en-US" w:eastAsia="zh-CN"/>
              </w:rPr>
              <w:t>23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84"/>
        <w:gridCol w:w="168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784" w:type="dxa"/>
            <w:shd w:val="clear" w:color="auto" w:fill="F3F3F3"/>
            <w:tcMar>
              <w:left w:w="57" w:type="dxa"/>
              <w:right w:w="57" w:type="dxa"/>
            </w:tcMar>
          </w:tcPr>
          <w:p>
            <w:r>
              <w:rPr>
                <w:rFonts w:hint="eastAsia"/>
              </w:rPr>
              <w:t>审核范围（产品和过程）</w:t>
            </w:r>
          </w:p>
          <w:p/>
          <w:p/>
        </w:tc>
        <w:tc>
          <w:tcPr>
            <w:tcW w:w="168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cs="Times New Roman" w:asciiTheme="minorEastAsia" w:hAnsiTheme="minorEastAsia" w:eastAsiaTheme="minorEastAsia"/>
                <w:sz w:val="20"/>
              </w:rPr>
              <w:t>四川弘毅兴物业管理有限公司</w:t>
            </w:r>
            <w:r>
              <w:rPr>
                <w:rFonts w:hint="eastAsia" w:cs="Times New Roman" w:asciiTheme="minorEastAsia" w:hAnsiTheme="minorEastAsia" w:eastAsiaTheme="minorEastAsia"/>
                <w:sz w:val="20"/>
                <w:lang w:val="en-US" w:eastAsia="zh-CN"/>
              </w:rPr>
              <w:t>/</w:t>
            </w:r>
            <w:r>
              <w:rPr>
                <w:rFonts w:cs="Times New Roman" w:asciiTheme="minorEastAsia" w:hAnsiTheme="minorEastAsia" w:eastAsiaTheme="minorEastAsia"/>
                <w:sz w:val="20"/>
              </w:rPr>
              <w:t>成都市双流区东升街道花月西街65号</w:t>
            </w:r>
          </w:p>
        </w:tc>
        <w:tc>
          <w:tcPr>
            <w:tcW w:w="2267" w:type="dxa"/>
          </w:tcPr>
          <w:p>
            <w:pPr>
              <w:rPr>
                <w:rFonts w:hint="eastAsia" w:eastAsiaTheme="minorEastAsia"/>
                <w:lang w:val="en-US" w:eastAsia="zh-CN"/>
              </w:rPr>
            </w:pPr>
            <w:r>
              <w:rPr>
                <w:rFonts w:asciiTheme="minorEastAsia" w:hAnsiTheme="minorEastAsia" w:eastAsiaTheme="minorEastAsia"/>
                <w:sz w:val="20"/>
              </w:rPr>
              <w:t>成都市双流区东升街道五洞桥北路一段28号墨香1栋9楼</w:t>
            </w:r>
            <w:r>
              <w:rPr>
                <w:rFonts w:hint="eastAsia" w:asciiTheme="minorEastAsia" w:hAnsiTheme="minorEastAsia" w:eastAsiaTheme="minorEastAsia"/>
                <w:sz w:val="20"/>
                <w:lang w:val="en-US" w:eastAsia="zh-CN"/>
              </w:rPr>
              <w:t>/四川省天府新区太平街道</w:t>
            </w:r>
          </w:p>
        </w:tc>
        <w:tc>
          <w:tcPr>
            <w:tcW w:w="571" w:type="dxa"/>
            <w:vAlign w:val="center"/>
          </w:tcPr>
          <w:p>
            <w:pPr>
              <w:rPr>
                <w:rFonts w:hint="default" w:eastAsia="宋体"/>
                <w:lang w:val="en-US" w:eastAsia="zh-CN"/>
              </w:rPr>
            </w:pPr>
            <w:r>
              <w:rPr>
                <w:rFonts w:hint="eastAsia"/>
                <w:lang w:val="en-US" w:eastAsia="zh-CN"/>
              </w:rPr>
              <w:t>65</w:t>
            </w:r>
          </w:p>
        </w:tc>
        <w:tc>
          <w:tcPr>
            <w:tcW w:w="1784" w:type="dxa"/>
            <w:vAlign w:val="center"/>
          </w:tcPr>
          <w:p>
            <w:pPr>
              <w:rPr>
                <w:lang w:eastAsia="ja-JP"/>
              </w:rPr>
            </w:pPr>
            <w:r>
              <w:rPr>
                <w:sz w:val="20"/>
              </w:rPr>
              <w:t>许可范围内环境卫生作业（市政设施保洁、道路保洁、雨篦子清掏）、道路环卫清扫保洁、垃圾清运服务</w:t>
            </w:r>
          </w:p>
        </w:tc>
        <w:tc>
          <w:tcPr>
            <w:tcW w:w="1688" w:type="dxa"/>
            <w:vAlign w:val="center"/>
          </w:tcPr>
          <w:p>
            <w:pPr>
              <w:rPr>
                <w:rFonts w:hint="eastAsia" w:ascii="Times New Roman" w:hAnsi="Times New Roman" w:eastAsia="宋体" w:cs="Times New Roman"/>
                <w:sz w:val="20"/>
              </w:rPr>
            </w:pPr>
            <w:r>
              <w:rPr>
                <w:rFonts w:hint="eastAsia" w:ascii="Times New Roman" w:hAnsi="Times New Roman" w:eastAsia="宋体" w:cs="Times New Roman"/>
                <w:sz w:val="20"/>
              </w:rPr>
              <w:t>GB/T19001-2016</w:t>
            </w:r>
          </w:p>
          <w:p>
            <w:pPr>
              <w:rPr>
                <w:rFonts w:hint="eastAsia" w:ascii="Times New Roman" w:hAnsi="Times New Roman" w:eastAsia="宋体" w:cs="Times New Roman"/>
                <w:sz w:val="20"/>
              </w:rPr>
            </w:pPr>
            <w:r>
              <w:rPr>
                <w:rFonts w:hint="eastAsia" w:ascii="Times New Roman" w:hAnsi="Times New Roman" w:eastAsia="宋体" w:cs="Times New Roman"/>
                <w:sz w:val="20"/>
              </w:rPr>
              <w:t>GB/T24001-2016</w:t>
            </w:r>
          </w:p>
          <w:p>
            <w:pPr>
              <w:rPr>
                <w:rFonts w:hint="eastAsia" w:ascii="宋体" w:hAnsi="宋体"/>
                <w:b/>
                <w:sz w:val="21"/>
                <w:szCs w:val="21"/>
                <w:lang w:eastAsia="ja-JP"/>
              </w:rPr>
            </w:pPr>
            <w:r>
              <w:rPr>
                <w:rFonts w:hint="eastAsia" w:ascii="Times New Roman" w:hAnsi="Times New Roman" w:eastAsia="宋体" w:cs="Times New Roman"/>
                <w:sz w:val="20"/>
              </w:rPr>
              <w:t>GB/T45001-2020</w:t>
            </w:r>
          </w:p>
        </w:tc>
        <w:tc>
          <w:tcPr>
            <w:tcW w:w="668"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84" w:type="dxa"/>
            <w:vAlign w:val="center"/>
          </w:tcPr>
          <w:p>
            <w:pPr>
              <w:rPr>
                <w:lang w:eastAsia="ja-JP"/>
              </w:rPr>
            </w:pPr>
          </w:p>
        </w:tc>
        <w:tc>
          <w:tcPr>
            <w:tcW w:w="1688"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2021-N1EMS-3093566</w:t>
            </w:r>
          </w:p>
          <w:p>
            <w:r>
              <w:t>2022-N1OHSMS-3093566</w:t>
            </w:r>
          </w:p>
          <w:p>
            <w:r>
              <w:t>2022-N1QMS-4093566</w:t>
            </w:r>
          </w:p>
        </w:tc>
        <w:tc>
          <w:tcPr>
            <w:tcW w:w="2179" w:type="dxa"/>
            <w:vAlign w:val="center"/>
          </w:tcPr>
          <w:p>
            <w:r>
              <w:t>E:31.04.01,35.16.01,35.16.03</w:t>
            </w:r>
          </w:p>
          <w:p>
            <w:r>
              <w:t>O:31.04.01</w:t>
            </w:r>
          </w:p>
          <w:p>
            <w:r>
              <w:t>Q:31.04.01,35.16.01,35.16.03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毛彦</w:t>
            </w:r>
          </w:p>
        </w:tc>
        <w:tc>
          <w:tcPr>
            <w:tcW w:w="1089" w:type="dxa"/>
            <w:vAlign w:val="center"/>
          </w:tcPr>
          <w:p>
            <w:r>
              <w:t>组员</w:t>
            </w:r>
          </w:p>
        </w:tc>
        <w:tc>
          <w:tcPr>
            <w:tcW w:w="711" w:type="dxa"/>
            <w:vAlign w:val="center"/>
          </w:tcPr>
          <w:p>
            <w:r>
              <w:t>男</w:t>
            </w:r>
          </w:p>
        </w:tc>
        <w:tc>
          <w:tcPr>
            <w:tcW w:w="3870" w:type="dxa"/>
            <w:vAlign w:val="center"/>
          </w:tcPr>
          <w:p>
            <w:r>
              <w:t>成都绿地清洁服务有限公司</w:t>
            </w:r>
          </w:p>
        </w:tc>
        <w:tc>
          <w:tcPr>
            <w:tcW w:w="2179" w:type="dxa"/>
            <w:vAlign w:val="center"/>
          </w:tcPr>
          <w:p>
            <w:r>
              <w:t>E:35.16.01,35.16.03</w:t>
            </w:r>
          </w:p>
          <w:p>
            <w:r>
              <w:t>O:35.16.01,35.16.03</w:t>
            </w:r>
          </w:p>
          <w:p>
            <w:r>
              <w:t>Q:35.16.01,35.16.03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2019-N1EMS-1247783</w:t>
            </w:r>
          </w:p>
          <w:p>
            <w:r>
              <w:t>2021-N1OHSMS-1247783</w:t>
            </w:r>
          </w:p>
          <w:p>
            <w:r>
              <w:t>2020-N1QMS-1247783</w:t>
            </w:r>
          </w:p>
        </w:tc>
        <w:tc>
          <w:tcPr>
            <w:tcW w:w="2179" w:type="dxa"/>
            <w:vAlign w:val="center"/>
          </w:tcPr>
          <w:p>
            <w:r>
              <w:t>O:35.16.01,35.16.03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2020-N1EMS-1262293</w:t>
            </w:r>
          </w:p>
          <w:p>
            <w:r>
              <w:t>2021-N1OHSMS-1262293</w:t>
            </w:r>
          </w:p>
          <w:p>
            <w:r>
              <w:t>2020-N1QMS-1262293</w:t>
            </w:r>
          </w:p>
        </w:tc>
        <w:tc>
          <w:tcPr>
            <w:tcW w:w="2179" w:type="dxa"/>
            <w:vAlign w:val="center"/>
          </w:tcPr>
          <w:p>
            <w:r>
              <w:t>E:31.04.01</w:t>
            </w:r>
          </w:p>
          <w:p>
            <w:r>
              <w:t>O:35.16.01,35.16.03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上次不符合为业务部</w:t>
            </w:r>
            <w:r>
              <w:rPr>
                <w:rFonts w:hint="eastAsia"/>
                <w:lang w:val="en-US" w:eastAsia="zh-CN"/>
              </w:rPr>
              <w:t>O8.1，行政部Q7.2本次审核无类似情况发生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bookmarkStart w:id="34" w:name="_GoBack"/>
      <w:bookmarkEnd w:id="34"/>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许可范围内环境卫生作业（市政设施保洁、道路保洁、雨篦子清掏）、道路环卫清扫保洁、垃圾清运服务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许可范围内环境卫生作业（市政设施保洁、道路保洁、雨篦子清掏）、道路环卫清扫保洁、垃圾清运服务所涉及场所的相关环境管理活动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许可范围内环境卫生作业（市政设施保洁、道路保洁、雨篦子清掏）道路环卫清扫保洁、垃圾清运服务所涉及场所的相关职业健康安全管理活动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196850</wp:posOffset>
                  </wp:positionH>
                  <wp:positionV relativeFrom="paragraph">
                    <wp:posOffset>93345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auto"/>
                <w:szCs w:val="21"/>
                <w:lang w:val="en-US" w:eastAsia="zh-CN"/>
              </w:rPr>
              <w:t>2022.8.24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最高管理者制定了文件化的管理体系方针：诚实守信，客户至上；真诚合作，实现双赢</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7"/>
              <w:gridCol w:w="3360"/>
              <w:gridCol w:w="106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36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65"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19"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shd w:val="clear" w:color="auto" w:fill="auto"/>
                </w:tcPr>
                <w:p>
                  <w:pPr>
                    <w:shd w:val="clear" w:color="auto" w:fill="C7DAF1" w:themeFill="text2" w:themeFillTint="32"/>
                    <w:rPr>
                      <w:rFonts w:hint="eastAsia" w:ascii="宋体" w:hAnsi="宋体" w:eastAsia="宋体"/>
                      <w:highlight w:val="none"/>
                    </w:rPr>
                  </w:pPr>
                  <w:r>
                    <w:rPr>
                      <w:rFonts w:hint="eastAsia" w:ascii="宋体" w:hAnsi="宋体" w:eastAsia="宋体"/>
                      <w:highlight w:val="none"/>
                    </w:rPr>
                    <w:t>客户反馈处理率达到100%</w:t>
                  </w:r>
                </w:p>
              </w:tc>
              <w:tc>
                <w:tcPr>
                  <w:tcW w:w="3360" w:type="dxa"/>
                  <w:shd w:val="clear" w:color="auto" w:fill="auto"/>
                  <w:vAlign w:val="center"/>
                </w:tcPr>
                <w:p>
                  <w:pPr>
                    <w:shd w:val="clear" w:color="auto" w:fill="C7DAF1" w:themeFill="text2" w:themeFillTint="32"/>
                    <w:rPr>
                      <w:rFonts w:hint="eastAsia" w:ascii="宋体" w:hAnsi="宋体" w:eastAsia="宋体"/>
                      <w:highlight w:val="none"/>
                      <w:lang w:val="en-GB" w:eastAsia="zh-CN"/>
                    </w:rPr>
                  </w:pPr>
                  <w:r>
                    <w:rPr>
                      <w:rFonts w:hint="eastAsia" w:ascii="宋体" w:hAnsi="宋体" w:eastAsia="宋体"/>
                      <w:highlight w:val="none"/>
                      <w:lang w:val="en-GB"/>
                    </w:rPr>
                    <w:t>客户反馈处理/客户反馈总数*100</w:t>
                  </w:r>
                  <w:r>
                    <w:rPr>
                      <w:rFonts w:hint="eastAsia" w:ascii="宋体" w:hAnsi="宋体" w:eastAsia="宋体"/>
                      <w:highlight w:val="none"/>
                      <w:lang w:val="en-GB" w:eastAsia="zh-CN"/>
                    </w:rPr>
                    <w:t>%</w:t>
                  </w:r>
                </w:p>
              </w:tc>
              <w:tc>
                <w:tcPr>
                  <w:tcW w:w="1065" w:type="dxa"/>
                  <w:shd w:val="clear" w:color="auto" w:fill="auto"/>
                  <w:vAlign w:val="center"/>
                </w:tcPr>
                <w:p>
                  <w:pPr>
                    <w:shd w:val="clear" w:color="auto" w:fill="C7DAF1" w:themeFill="text2" w:themeFillTint="32"/>
                    <w:rPr>
                      <w:rFonts w:hint="eastAsia" w:eastAsia="宋体"/>
                      <w:highlight w:val="none"/>
                      <w:lang w:val="en-GB" w:eastAsia="zh-CN"/>
                    </w:rPr>
                  </w:pPr>
                  <w:r>
                    <w:rPr>
                      <w:rFonts w:hint="eastAsia"/>
                      <w:highlight w:val="none"/>
                      <w:lang w:val="en-GB" w:eastAsia="zh-CN"/>
                    </w:rPr>
                    <w:t>业务部</w:t>
                  </w:r>
                </w:p>
              </w:tc>
              <w:tc>
                <w:tcPr>
                  <w:tcW w:w="1519" w:type="dxa"/>
                  <w:shd w:val="clear" w:color="auto" w:fill="auto"/>
                  <w:vAlign w:val="center"/>
                </w:tcPr>
                <w:p>
                  <w:pPr>
                    <w:shd w:val="clear" w:color="auto" w:fill="C7DAF1" w:themeFill="text2" w:themeFillTint="32"/>
                    <w:jc w:val="center"/>
                    <w:rPr>
                      <w:rFonts w:ascii="宋体" w:hAnsi="宋体"/>
                      <w:highlight w:val="none"/>
                      <w:lang w:val="en-GB"/>
                    </w:rPr>
                  </w:pPr>
                  <w:r>
                    <w:rPr>
                      <w:rFonts w:hint="eastAsia" w:ascii="宋体" w:hAnsi="宋体"/>
                      <w:highlight w:val="none"/>
                    </w:rPr>
                    <w:t>100</w:t>
                  </w:r>
                  <w:r>
                    <w:rPr>
                      <w:rFonts w:hint="eastAsia" w:ascii="宋体" w:hAnsi="宋体"/>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shd w:val="clear" w:color="auto" w:fill="auto"/>
                </w:tcPr>
                <w:p>
                  <w:pPr>
                    <w:shd w:val="clear" w:color="auto" w:fill="C7DAF1" w:themeFill="text2" w:themeFillTint="32"/>
                    <w:rPr>
                      <w:rFonts w:hint="eastAsia" w:ascii="宋体" w:hAnsi="宋体" w:eastAsia="宋体"/>
                      <w:highlight w:val="none"/>
                    </w:rPr>
                  </w:pPr>
                  <w:r>
                    <w:rPr>
                      <w:rFonts w:hint="eastAsia" w:ascii="宋体" w:hAnsi="宋体" w:eastAsia="宋体"/>
                      <w:highlight w:val="none"/>
                    </w:rPr>
                    <w:t>合同履约率100%</w:t>
                  </w:r>
                </w:p>
              </w:tc>
              <w:tc>
                <w:tcPr>
                  <w:tcW w:w="3360" w:type="dxa"/>
                  <w:shd w:val="clear" w:color="auto" w:fill="auto"/>
                  <w:vAlign w:val="center"/>
                </w:tcPr>
                <w:p>
                  <w:pPr>
                    <w:shd w:val="clear" w:color="auto" w:fill="C7DAF1" w:themeFill="text2" w:themeFillTint="32"/>
                    <w:rPr>
                      <w:rFonts w:hint="eastAsia" w:ascii="宋体" w:hAnsi="宋体" w:eastAsia="宋体"/>
                      <w:highlight w:val="none"/>
                      <w:lang w:eastAsia="zh-CN"/>
                    </w:rPr>
                  </w:pPr>
                  <w:r>
                    <w:rPr>
                      <w:rFonts w:hint="eastAsia" w:ascii="宋体" w:hAnsi="宋体" w:eastAsia="宋体"/>
                      <w:highlight w:val="none"/>
                    </w:rPr>
                    <w:t>合同履约/合同总数*100</w:t>
                  </w:r>
                  <w:r>
                    <w:rPr>
                      <w:rFonts w:hint="eastAsia" w:ascii="宋体" w:hAnsi="宋体" w:eastAsia="宋体"/>
                      <w:highlight w:val="none"/>
                      <w:lang w:eastAsia="zh-CN"/>
                    </w:rPr>
                    <w:t>%</w:t>
                  </w:r>
                </w:p>
              </w:tc>
              <w:tc>
                <w:tcPr>
                  <w:tcW w:w="1065" w:type="dxa"/>
                  <w:shd w:val="clear" w:color="auto" w:fill="auto"/>
                  <w:vAlign w:val="center"/>
                </w:tcPr>
                <w:p>
                  <w:pPr>
                    <w:shd w:val="clear" w:color="auto" w:fill="C7DAF1" w:themeFill="text2" w:themeFillTint="32"/>
                    <w:rPr>
                      <w:rFonts w:hint="eastAsia" w:ascii="宋体" w:hAnsi="宋体" w:eastAsia="宋体"/>
                      <w:highlight w:val="none"/>
                      <w:lang w:eastAsia="zh-CN"/>
                    </w:rPr>
                  </w:pPr>
                  <w:r>
                    <w:rPr>
                      <w:rFonts w:hint="eastAsia" w:ascii="宋体" w:hAnsi="宋体"/>
                      <w:highlight w:val="none"/>
                      <w:lang w:eastAsia="zh-CN"/>
                    </w:rPr>
                    <w:t>市场部</w:t>
                  </w:r>
                </w:p>
              </w:tc>
              <w:tc>
                <w:tcPr>
                  <w:tcW w:w="1519" w:type="dxa"/>
                  <w:shd w:val="clear" w:color="auto" w:fill="auto"/>
                  <w:vAlign w:val="center"/>
                </w:tcPr>
                <w:p>
                  <w:pPr>
                    <w:shd w:val="clear" w:color="auto" w:fill="C7DAF1" w:themeFill="text2" w:themeFillTint="32"/>
                    <w:jc w:val="center"/>
                    <w:rPr>
                      <w:rFonts w:ascii="宋体" w:hAnsi="宋体"/>
                      <w:highlight w:val="none"/>
                    </w:rPr>
                  </w:pPr>
                  <w:r>
                    <w:rPr>
                      <w:rFonts w:hint="eastAsia" w:ascii="宋体" w:hAnsi="宋体"/>
                      <w:highlight w:val="none"/>
                    </w:rPr>
                    <w:t>100</w:t>
                  </w:r>
                  <w:r>
                    <w:rPr>
                      <w:rFonts w:hint="eastAsia" w:ascii="宋体" w:hAnsi="宋体"/>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7" w:type="dxa"/>
                  <w:shd w:val="clear" w:color="auto" w:fill="auto"/>
                </w:tcPr>
                <w:p>
                  <w:pPr>
                    <w:shd w:val="clear" w:color="auto" w:fill="C7DAF1" w:themeFill="text2" w:themeFillTint="32"/>
                    <w:rPr>
                      <w:rFonts w:hint="eastAsia" w:ascii="宋体" w:hAnsi="宋体" w:eastAsia="宋体"/>
                      <w:highlight w:val="none"/>
                    </w:rPr>
                  </w:pPr>
                  <w:r>
                    <w:rPr>
                      <w:rFonts w:hint="eastAsia" w:ascii="宋体" w:hAnsi="宋体" w:eastAsia="宋体"/>
                      <w:highlight w:val="none"/>
                    </w:rPr>
                    <w:t>顾客满意率达到≥90%</w:t>
                  </w:r>
                </w:p>
              </w:tc>
              <w:tc>
                <w:tcPr>
                  <w:tcW w:w="3360" w:type="dxa"/>
                  <w:shd w:val="clear" w:color="auto" w:fill="auto"/>
                  <w:vAlign w:val="center"/>
                </w:tcPr>
                <w:p>
                  <w:pPr>
                    <w:shd w:val="clear" w:color="auto" w:fill="C7DAF1" w:themeFill="text2" w:themeFillTint="32"/>
                    <w:rPr>
                      <w:rFonts w:hint="eastAsia" w:ascii="宋体" w:hAnsi="宋体" w:eastAsia="宋体"/>
                      <w:highlight w:val="none"/>
                      <w:lang w:eastAsia="zh-CN"/>
                    </w:rPr>
                  </w:pPr>
                  <w:r>
                    <w:rPr>
                      <w:rFonts w:hint="eastAsia" w:ascii="宋体" w:hAnsi="宋体" w:eastAsia="宋体"/>
                      <w:highlight w:val="none"/>
                    </w:rPr>
                    <w:t>顾客满意数/顾客总数*100</w:t>
                  </w:r>
                  <w:r>
                    <w:rPr>
                      <w:rFonts w:hint="eastAsia" w:ascii="宋体" w:hAnsi="宋体" w:eastAsia="宋体"/>
                      <w:highlight w:val="none"/>
                      <w:lang w:eastAsia="zh-CN"/>
                    </w:rPr>
                    <w:t>%</w:t>
                  </w:r>
                </w:p>
              </w:tc>
              <w:tc>
                <w:tcPr>
                  <w:tcW w:w="1065" w:type="dxa"/>
                  <w:shd w:val="clear" w:color="auto" w:fill="auto"/>
                  <w:vAlign w:val="center"/>
                </w:tcPr>
                <w:p>
                  <w:pPr>
                    <w:shd w:val="clear" w:color="auto" w:fill="C7DAF1" w:themeFill="text2" w:themeFillTint="32"/>
                    <w:rPr>
                      <w:rFonts w:hint="eastAsia" w:ascii="宋体" w:hAnsi="宋体" w:eastAsia="宋体"/>
                      <w:highlight w:val="none"/>
                      <w:lang w:eastAsia="zh-CN"/>
                    </w:rPr>
                  </w:pPr>
                  <w:r>
                    <w:rPr>
                      <w:rFonts w:hint="eastAsia" w:ascii="宋体" w:hAnsi="宋体"/>
                      <w:highlight w:val="none"/>
                      <w:lang w:eastAsia="zh-CN"/>
                    </w:rPr>
                    <w:t>市场部</w:t>
                  </w:r>
                </w:p>
              </w:tc>
              <w:tc>
                <w:tcPr>
                  <w:tcW w:w="1519"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shd w:val="clear" w:color="auto" w:fill="auto"/>
                </w:tcPr>
                <w:p>
                  <w:pPr>
                    <w:shd w:val="clear" w:color="auto" w:fill="C7DAF1" w:themeFill="text2" w:themeFillTint="32"/>
                    <w:rPr>
                      <w:highlight w:val="yellow"/>
                    </w:rPr>
                  </w:pPr>
                </w:p>
              </w:tc>
              <w:tc>
                <w:tcPr>
                  <w:tcW w:w="3360" w:type="dxa"/>
                  <w:shd w:val="clear" w:color="auto" w:fill="auto"/>
                  <w:vAlign w:val="center"/>
                </w:tcPr>
                <w:p>
                  <w:pPr>
                    <w:shd w:val="clear" w:color="auto" w:fill="C7DAF1" w:themeFill="text2" w:themeFillTint="32"/>
                    <w:rPr>
                      <w:rFonts w:ascii="宋体" w:hAnsi="宋体"/>
                      <w:highlight w:val="yellow"/>
                    </w:rPr>
                  </w:pPr>
                </w:p>
              </w:tc>
              <w:tc>
                <w:tcPr>
                  <w:tcW w:w="1065" w:type="dxa"/>
                  <w:shd w:val="clear" w:color="auto" w:fill="auto"/>
                  <w:vAlign w:val="center"/>
                </w:tcPr>
                <w:p>
                  <w:pPr>
                    <w:shd w:val="clear" w:color="auto" w:fill="C7DAF1" w:themeFill="text2" w:themeFillTint="32"/>
                    <w:rPr>
                      <w:rFonts w:ascii="宋体" w:hAnsi="宋体"/>
                      <w:highlight w:val="yellow"/>
                    </w:rPr>
                  </w:pPr>
                </w:p>
              </w:tc>
              <w:tc>
                <w:tcPr>
                  <w:tcW w:w="1519" w:type="dxa"/>
                  <w:shd w:val="clear" w:color="auto" w:fill="auto"/>
                  <w:vAlign w:val="center"/>
                </w:tcPr>
                <w:p>
                  <w:pPr>
                    <w:shd w:val="clear" w:color="auto" w:fill="C7DAF1" w:themeFill="text2" w:themeFillTint="32"/>
                    <w:jc w:val="center"/>
                    <w:rPr>
                      <w:rFonts w:ascii="宋体" w:hAns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shd w:val="clear" w:color="auto" w:fill="auto"/>
                </w:tcPr>
                <w:p>
                  <w:pPr>
                    <w:shd w:val="clear" w:color="auto" w:fill="C7DAF1" w:themeFill="text2" w:themeFillTint="32"/>
                    <w:rPr>
                      <w:highlight w:val="yellow"/>
                    </w:rPr>
                  </w:pPr>
                </w:p>
              </w:tc>
              <w:tc>
                <w:tcPr>
                  <w:tcW w:w="3360" w:type="dxa"/>
                  <w:shd w:val="clear" w:color="auto" w:fill="auto"/>
                  <w:vAlign w:val="center"/>
                </w:tcPr>
                <w:p>
                  <w:pPr>
                    <w:shd w:val="clear" w:color="auto" w:fill="C7DAF1" w:themeFill="text2" w:themeFillTint="32"/>
                    <w:rPr>
                      <w:rFonts w:ascii="宋体" w:hAnsi="宋体"/>
                      <w:highlight w:val="yellow"/>
                    </w:rPr>
                  </w:pPr>
                </w:p>
              </w:tc>
              <w:tc>
                <w:tcPr>
                  <w:tcW w:w="1065" w:type="dxa"/>
                  <w:shd w:val="clear" w:color="auto" w:fill="auto"/>
                  <w:vAlign w:val="center"/>
                </w:tcPr>
                <w:p>
                  <w:pPr>
                    <w:shd w:val="clear" w:color="auto" w:fill="C7DAF1" w:themeFill="text2" w:themeFillTint="32"/>
                    <w:rPr>
                      <w:rFonts w:ascii="宋体" w:hAnsi="宋体"/>
                      <w:highlight w:val="yellow"/>
                    </w:rPr>
                  </w:pPr>
                </w:p>
              </w:tc>
              <w:tc>
                <w:tcPr>
                  <w:tcW w:w="1519" w:type="dxa"/>
                  <w:shd w:val="clear" w:color="auto" w:fill="auto"/>
                  <w:vAlign w:val="center"/>
                </w:tcPr>
                <w:p>
                  <w:pPr>
                    <w:shd w:val="clear" w:color="auto" w:fill="C7DAF1" w:themeFill="text2" w:themeFillTint="32"/>
                    <w:jc w:val="center"/>
                    <w:rPr>
                      <w:rFonts w:ascii="宋体" w:hAnsi="宋体"/>
                      <w:highlight w:val="yellow"/>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建筑面积700平方米；生产车间0个；库房1个；实验室0个；</w:t>
            </w:r>
          </w:p>
          <w:p>
            <w:pPr>
              <w:shd w:val="clear" w:color="auto" w:fill="C7DAF1" w:themeFill="text2" w:themeFillTint="32"/>
              <w:rPr>
                <w:rFonts w:hint="eastAsia"/>
              </w:rPr>
            </w:pPr>
            <w:r>
              <w:rPr>
                <w:rFonts w:hint="eastAsia"/>
              </w:rPr>
              <w:t>主要生产设备有：电脑及办公设备、洒水车、洗扫车、高压冲洗机、快速保洁车、电动扫地车等。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8"/>
              <w:gridCol w:w="106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shd w:val="clear" w:color="auto" w:fill="C7DAF1" w:themeFill="text2" w:themeFillTint="32"/>
                    <w:jc w:val="left"/>
                  </w:pPr>
                  <w:r>
                    <w:rPr>
                      <w:rFonts w:hint="eastAsia"/>
                    </w:rPr>
                    <w:t>产品/服务名称</w:t>
                  </w:r>
                </w:p>
              </w:tc>
              <w:tc>
                <w:tcPr>
                  <w:tcW w:w="106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shd w:val="clear" w:color="auto" w:fill="C7DAF1" w:themeFill="text2" w:themeFillTint="32"/>
                    <w:jc w:val="left"/>
                  </w:pPr>
                  <w:r>
                    <w:rPr>
                      <w:sz w:val="20"/>
                    </w:rPr>
                    <w:t>许可范围内环境卫生作业（市政设施保洁、道路保洁、雨篦子清掏）、道路环卫清扫保洁、垃圾清运服务</w:t>
                  </w:r>
                </w:p>
              </w:tc>
              <w:tc>
                <w:tcPr>
                  <w:tcW w:w="1069" w:type="dxa"/>
                </w:tcPr>
                <w:p>
                  <w:pPr>
                    <w:shd w:val="clear" w:color="auto" w:fill="C7DAF1" w:themeFill="text2" w:themeFillTint="32"/>
                    <w:jc w:val="left"/>
                    <w:rPr>
                      <w:rFonts w:hint="eastAsia" w:ascii="Times New Roman" w:hAnsi="Times New Roman" w:eastAsia="宋体" w:cs="Times New Roman"/>
                      <w:sz w:val="20"/>
                      <w:lang w:eastAsia="zh-CN"/>
                    </w:rPr>
                  </w:pPr>
                  <w:r>
                    <w:rPr>
                      <w:rFonts w:hint="eastAsia" w:ascii="Times New Roman" w:hAnsi="Times New Roman" w:eastAsia="宋体" w:cs="Times New Roman"/>
                      <w:sz w:val="20"/>
                      <w:lang w:eastAsia="zh-CN"/>
                    </w:rPr>
                    <w:t>服务过程</w:t>
                  </w:r>
                </w:p>
              </w:tc>
              <w:tc>
                <w:tcPr>
                  <w:tcW w:w="3265" w:type="dxa"/>
                </w:tcPr>
                <w:p>
                  <w:pPr>
                    <w:shd w:val="clear" w:color="auto" w:fill="C7DAF1" w:themeFill="text2" w:themeFillTint="32"/>
                    <w:jc w:val="left"/>
                    <w:rPr>
                      <w:rFonts w:ascii="Times New Roman" w:hAnsi="Times New Roman" w:eastAsia="宋体" w:cs="Times New Roman"/>
                      <w:sz w:val="20"/>
                    </w:rPr>
                  </w:pPr>
                  <w:r>
                    <w:rPr>
                      <w:rFonts w:hint="eastAsia" w:ascii="宋体" w:hAnsi="宋体"/>
                      <w:sz w:val="21"/>
                      <w:szCs w:val="21"/>
                      <w:lang w:eastAsia="zh-CN"/>
                    </w:rPr>
                    <w:t>服务质量、及时性、投诉处理满意度等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shd w:val="clear" w:color="auto" w:fill="C7DAF1" w:themeFill="text2" w:themeFillTint="32"/>
                    <w:jc w:val="left"/>
                  </w:pPr>
                </w:p>
              </w:tc>
              <w:tc>
                <w:tcPr>
                  <w:tcW w:w="1069"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shd w:val="clear" w:color="auto" w:fill="C7DAF1" w:themeFill="text2" w:themeFillTint="32"/>
                    <w:jc w:val="left"/>
                  </w:pPr>
                </w:p>
              </w:tc>
              <w:tc>
                <w:tcPr>
                  <w:tcW w:w="1069"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服务过程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通过年度策划于2022年6月6日-7日实施了质量管理体系内部审核，对质量管理体系的符合性和有效性进行了审核。内审发现的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最高管理者已按策划的时间间隔，在2022年7月1日对组织的质量管理体系进行了评审，以确保其持续的适宜性、充分性和有效性；管理评审输入、输出均按要求提供。并对提出的改进措施进行了落实。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rFonts w:hint="eastAsia" w:ascii="Times New Roman" w:hAnsi="Times New Roman" w:eastAsia="宋体" w:cs="Times New Roman"/>
                <w:color w:val="000000"/>
                <w:szCs w:val="18"/>
                <w:u w:val="none"/>
              </w:rPr>
            </w:pPr>
            <w:r>
              <w:rPr>
                <w:rFonts w:hint="eastAsia"/>
              </w:rPr>
              <w:t>最高管理者制定了文件化的管理体系方针：</w:t>
            </w:r>
            <w:r>
              <w:rPr>
                <w:rFonts w:hint="eastAsia" w:ascii="Times New Roman" w:hAnsi="Times New Roman" w:eastAsia="宋体" w:cs="Times New Roman"/>
                <w:color w:val="000000"/>
                <w:szCs w:val="18"/>
                <w:u w:val="none"/>
              </w:rPr>
              <w:t>遵规守法，预防污染；高效低耗，环保作业</w:t>
            </w:r>
          </w:p>
          <w:p>
            <w:pPr>
              <w:pStyle w:val="2"/>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432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shd w:val="clear" w:color="auto" w:fill="EBF1DE" w:themeFill="accent3" w:themeFillTint="32"/>
                  </w:pPr>
                  <w:r>
                    <w:rPr>
                      <w:rFonts w:hint="eastAsia"/>
                    </w:rPr>
                    <w:t>主要的风险或机遇描述</w:t>
                  </w:r>
                </w:p>
              </w:tc>
              <w:tc>
                <w:tcPr>
                  <w:tcW w:w="432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432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432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shd w:val="clear" w:color="auto" w:fill="EBF1DE" w:themeFill="accent3" w:themeFillTint="32"/>
                    <w:rPr>
                      <w:rFonts w:hint="default" w:eastAsia="宋体"/>
                      <w:lang w:val="en-US" w:eastAsia="zh-CN"/>
                    </w:rPr>
                  </w:pPr>
                  <w:r>
                    <w:rPr>
                      <w:rFonts w:hint="eastAsia"/>
                      <w:lang w:val="en-US" w:eastAsia="zh-CN"/>
                    </w:rPr>
                    <w:t>粉尘排放</w:t>
                  </w:r>
                </w:p>
              </w:tc>
              <w:tc>
                <w:tcPr>
                  <w:tcW w:w="432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shd w:val="clear" w:color="auto" w:fill="EBF1DE" w:themeFill="accent3" w:themeFillTint="32"/>
                    <w:rPr>
                      <w:rFonts w:hint="default" w:eastAsia="宋体"/>
                      <w:lang w:val="en-US" w:eastAsia="zh-CN"/>
                    </w:rPr>
                  </w:pPr>
                  <w:r>
                    <w:rPr>
                      <w:rFonts w:hint="eastAsia"/>
                      <w:lang w:val="en-US" w:eastAsia="zh-CN"/>
                    </w:rPr>
                    <w:t>废水排放</w:t>
                  </w:r>
                </w:p>
              </w:tc>
              <w:tc>
                <w:tcPr>
                  <w:tcW w:w="432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w:t>
            </w:r>
            <w:r>
              <w:rPr>
                <w:rFonts w:hint="eastAsia"/>
                <w:lang w:eastAsia="zh-CN"/>
              </w:rPr>
              <w:t>■</w:t>
            </w:r>
            <w:r>
              <w:rPr>
                <w:rFonts w:hint="eastAsia"/>
              </w:rPr>
              <w:t xml:space="preserve">废水排放  □废气排放 </w:t>
            </w:r>
            <w:r>
              <w:rPr>
                <w:rFonts w:hint="eastAsia"/>
                <w:lang w:eastAsia="zh-CN"/>
              </w:rPr>
              <w:t>■</w:t>
            </w:r>
            <w:r>
              <w:rPr>
                <w:rFonts w:hint="eastAsia"/>
              </w:rPr>
              <w:t xml:space="preserve">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406"/>
              <w:gridCol w:w="108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40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08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000000"/>
                      <w:szCs w:val="21"/>
                    </w:rPr>
                    <w:t>固体</w:t>
                  </w:r>
                  <w:r>
                    <w:rPr>
                      <w:rFonts w:hint="eastAsia" w:ascii="宋体" w:hAnsi="宋体" w:cs="宋体"/>
                      <w:color w:val="000000"/>
                      <w:szCs w:val="21"/>
                      <w:lang w:val="en-US" w:eastAsia="zh-CN"/>
                    </w:rPr>
                    <w:t>废弃物</w:t>
                  </w:r>
                  <w:r>
                    <w:rPr>
                      <w:rFonts w:hint="eastAsia" w:ascii="宋体" w:hAnsi="宋体" w:cs="宋体"/>
                      <w:color w:val="000000"/>
                      <w:szCs w:val="21"/>
                    </w:rPr>
                    <w:t>分类处理</w:t>
                  </w:r>
                  <w:r>
                    <w:rPr>
                      <w:rFonts w:hint="eastAsia" w:ascii="宋体" w:hAnsi="宋体" w:cs="宋体"/>
                      <w:color w:val="000000"/>
                      <w:szCs w:val="21"/>
                      <w:lang w:val="en-US" w:eastAsia="zh-CN"/>
                    </w:rPr>
                    <w:t>率</w:t>
                  </w:r>
                  <w:r>
                    <w:rPr>
                      <w:rFonts w:hint="eastAsia" w:ascii="宋体" w:hAnsi="宋体" w:cs="宋体"/>
                      <w:color w:val="000000"/>
                      <w:szCs w:val="21"/>
                    </w:rPr>
                    <w:t>100%</w:t>
                  </w:r>
                </w:p>
              </w:tc>
              <w:tc>
                <w:tcPr>
                  <w:tcW w:w="3406" w:type="dxa"/>
                  <w:shd w:val="clear" w:color="auto" w:fill="auto"/>
                  <w:vAlign w:val="center"/>
                </w:tcPr>
                <w:p>
                  <w:pPr>
                    <w:shd w:val="clear" w:color="auto" w:fill="EBF1DE" w:themeFill="accent3" w:themeFillTint="32"/>
                    <w:rPr>
                      <w:lang w:val="en-GB"/>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08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业务部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000000"/>
                      <w:szCs w:val="21"/>
                    </w:rPr>
                    <w:t>火灾事故为零</w:t>
                  </w:r>
                </w:p>
              </w:tc>
              <w:tc>
                <w:tcPr>
                  <w:tcW w:w="340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08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粉尘排放达标</w:t>
                  </w:r>
                </w:p>
              </w:tc>
              <w:tc>
                <w:tcPr>
                  <w:tcW w:w="340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08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业务部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废水合理排放达标</w:t>
                  </w:r>
                </w:p>
              </w:tc>
              <w:tc>
                <w:tcPr>
                  <w:tcW w:w="340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080"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业务部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406" w:type="dxa"/>
                  <w:shd w:val="clear" w:color="auto" w:fill="auto"/>
                  <w:vAlign w:val="center"/>
                </w:tcPr>
                <w:p>
                  <w:pPr>
                    <w:shd w:val="clear" w:color="auto" w:fill="EBF1DE" w:themeFill="accent3" w:themeFillTint="32"/>
                    <w:rPr>
                      <w:rFonts w:ascii="宋体" w:hAnsi="宋体"/>
                    </w:rPr>
                  </w:pPr>
                </w:p>
              </w:tc>
              <w:tc>
                <w:tcPr>
                  <w:tcW w:w="108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700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0</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0</w:t>
            </w:r>
            <w:r>
              <w:rPr>
                <w:rFonts w:hint="eastAsia" w:ascii="Times New Roman" w:hAnsi="Times New Roman" w:eastAsia="宋体" w:cs="Times New Roman"/>
              </w:rPr>
              <w:t>个；</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宋体" w:hAnsi="宋体" w:cs="宋体"/>
                <w:color w:val="000000"/>
                <w:sz w:val="21"/>
                <w:szCs w:val="21"/>
              </w:rPr>
              <w:t>电脑及办公设备、</w:t>
            </w:r>
            <w:r>
              <w:rPr>
                <w:rFonts w:hint="eastAsia" w:ascii="宋体" w:hAnsi="宋体"/>
                <w:sz w:val="21"/>
                <w:szCs w:val="21"/>
              </w:rPr>
              <w:t>洒水车、洗扫车、高压冲洗机、快速保洁车、电动扫地车</w:t>
            </w:r>
            <w:r>
              <w:rPr>
                <w:rFonts w:hint="eastAsia" w:ascii="宋体" w:hAnsi="宋体" w:cs="宋体"/>
                <w:sz w:val="21"/>
                <w:szCs w:val="21"/>
              </w:rPr>
              <w:t>等</w:t>
            </w:r>
            <w:r>
              <w:rPr>
                <w:rFonts w:hint="eastAsia" w:ascii="Times New Roman" w:hAnsi="Times New Roman" w:eastAsia="宋体" w:cs="Times New Roman"/>
                <w:lang w:eastAsia="zh-CN"/>
              </w:rPr>
              <w:t>。</w:t>
            </w:r>
          </w:p>
          <w:p>
            <w:pPr>
              <w:shd w:val="clear" w:color="auto" w:fill="EBF1DE" w:themeFill="accent3" w:themeFillTint="32"/>
              <w:rPr>
                <w:rFonts w:hint="eastAsia" w:ascii="Wingdings" w:hAnsi="Wingdings"/>
                <w:lang w:eastAsia="zh-CN"/>
              </w:rPr>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0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4705" w:type="dxa"/>
                </w:tcPr>
                <w:p>
                  <w:pPr>
                    <w:shd w:val="clear" w:color="auto" w:fill="EBF1DE" w:themeFill="accent3" w:themeFillTint="32"/>
                    <w:jc w:val="left"/>
                  </w:pPr>
                  <w:r>
                    <w:rPr>
                      <w:rFonts w:hint="eastAsia"/>
                    </w:rPr>
                    <w:t>控制措施</w:t>
                  </w:r>
                </w:p>
              </w:tc>
              <w:tc>
                <w:tcPr>
                  <w:tcW w:w="222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4705" w:type="dxa"/>
                </w:tcPr>
                <w:p>
                  <w:pPr>
                    <w:shd w:val="clear" w:color="auto" w:fill="EBF1DE" w:themeFill="accent3" w:themeFillTint="32"/>
                    <w:jc w:val="left"/>
                  </w:pPr>
                </w:p>
              </w:tc>
              <w:tc>
                <w:tcPr>
                  <w:tcW w:w="222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4705" w:type="dxa"/>
                </w:tcPr>
                <w:p>
                  <w:pPr>
                    <w:shd w:val="clear" w:color="auto" w:fill="EBF1DE" w:themeFill="accent3" w:themeFillTint="32"/>
                    <w:jc w:val="left"/>
                  </w:pPr>
                </w:p>
              </w:tc>
              <w:tc>
                <w:tcPr>
                  <w:tcW w:w="222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废水排放</w:t>
                  </w:r>
                </w:p>
              </w:tc>
              <w:tc>
                <w:tcPr>
                  <w:tcW w:w="470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222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废气排放</w:t>
                  </w:r>
                </w:p>
              </w:tc>
              <w:tc>
                <w:tcPr>
                  <w:tcW w:w="4705" w:type="dxa"/>
                </w:tcPr>
                <w:p>
                  <w:pPr>
                    <w:shd w:val="clear" w:color="auto" w:fill="EBF1DE" w:themeFill="accent3" w:themeFillTint="32"/>
                    <w:jc w:val="left"/>
                  </w:pPr>
                </w:p>
              </w:tc>
              <w:tc>
                <w:tcPr>
                  <w:tcW w:w="222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4705" w:type="dxa"/>
                </w:tcPr>
                <w:p>
                  <w:pPr>
                    <w:shd w:val="clear" w:color="auto" w:fill="EBF1DE" w:themeFill="accent3" w:themeFillTint="32"/>
                    <w:jc w:val="left"/>
                  </w:pPr>
                </w:p>
              </w:tc>
              <w:tc>
                <w:tcPr>
                  <w:tcW w:w="222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固废排放</w:t>
                  </w:r>
                </w:p>
              </w:tc>
              <w:tc>
                <w:tcPr>
                  <w:tcW w:w="470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222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粉尘排放</w:t>
                  </w:r>
                </w:p>
              </w:tc>
              <w:tc>
                <w:tcPr>
                  <w:tcW w:w="470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222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火灾</w:t>
                  </w:r>
                </w:p>
              </w:tc>
              <w:tc>
                <w:tcPr>
                  <w:tcW w:w="470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222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4705" w:type="dxa"/>
                </w:tcPr>
                <w:p>
                  <w:pPr>
                    <w:shd w:val="clear" w:color="auto" w:fill="EBF1DE" w:themeFill="accent3" w:themeFillTint="32"/>
                    <w:jc w:val="left"/>
                  </w:pPr>
                </w:p>
              </w:tc>
              <w:tc>
                <w:tcPr>
                  <w:tcW w:w="222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hint="eastAsia" w:eastAsia="宋体"/>
                <w:highlight w:val="none"/>
                <w:lang w:val="en-US" w:eastAsia="zh-CN"/>
              </w:rPr>
            </w:pPr>
            <w:r>
              <w:rPr>
                <w:rFonts w:hint="eastAsia"/>
                <w:highlight w:val="none"/>
              </w:rPr>
              <w:t>制订的应急预案包括：</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rPr>
                <w:highlight w:val="none"/>
              </w:rPr>
            </w:pPr>
            <w:r>
              <w:rPr>
                <w:rFonts w:hint="eastAsia"/>
                <w:highlight w:val="none"/>
              </w:rPr>
              <w:t>于</w:t>
            </w:r>
            <w:r>
              <w:rPr>
                <w:rFonts w:hint="eastAsia"/>
                <w:highlight w:val="none"/>
                <w:u w:val="none"/>
                <w:lang w:eastAsia="zh-CN"/>
              </w:rPr>
              <w:t>2022年5月26日</w:t>
            </w:r>
            <w:r>
              <w:rPr>
                <w:rFonts w:hint="eastAsia"/>
                <w:highlight w:val="none"/>
              </w:rPr>
              <w:t>进行了火灾消</w:t>
            </w:r>
            <w:r>
              <w:rPr>
                <w:rFonts w:hint="eastAsia" w:ascii="宋体" w:hAnsi="宋体" w:cs="宋体"/>
                <w:szCs w:val="21"/>
                <w:highlight w:val="none"/>
                <w:u w:val="single"/>
              </w:rPr>
              <w:t>防</w:t>
            </w:r>
            <w:r>
              <w:rPr>
                <w:rFonts w:hint="eastAsia"/>
                <w:highlight w:val="none"/>
              </w:rPr>
              <w:t xml:space="preserve">的演练；并总结了预案的可行性和有效性。 </w:t>
            </w:r>
          </w:p>
          <w:p>
            <w:pPr>
              <w:shd w:val="clear" w:color="auto" w:fill="EBF1DE" w:themeFill="accent3" w:themeFillTint="32"/>
              <w:rPr>
                <w:highlight w:val="none"/>
              </w:rPr>
            </w:pPr>
            <w:r>
              <w:rPr>
                <w:rFonts w:hint="eastAsia"/>
                <w:highlight w:val="none"/>
              </w:rPr>
              <w:t xml:space="preserve">定期评审并修订过程和策划的响应措施，特别是发生紧急情况后或进行试验后； </w:t>
            </w:r>
          </w:p>
          <w:p>
            <w:pPr>
              <w:shd w:val="clear" w:color="auto" w:fill="EBF1DE" w:themeFill="accent3" w:themeFillTint="32"/>
              <w:rPr>
                <w:highlight w:val="none"/>
              </w:rPr>
            </w:pPr>
            <w:r>
              <w:rPr>
                <w:rFonts w:hint="eastAsia"/>
                <w:highlight w:val="none"/>
              </w:rPr>
              <w:t>向环境有关的相关方，包括在组织控制下工作的人员提供应急准备和响应相关的信息和培训。</w:t>
            </w:r>
          </w:p>
          <w:p>
            <w:pPr>
              <w:shd w:val="clear" w:color="auto" w:fill="EBF1DE" w:themeFill="accent3" w:themeFillTint="32"/>
              <w:rPr>
                <w:highlight w:val="none"/>
              </w:rPr>
            </w:pPr>
            <w:r>
              <w:rPr>
                <w:rFonts w:hint="eastAsia"/>
                <w:highlight w:val="none"/>
              </w:rPr>
              <w:t>应急准备和响应控制：</w:t>
            </w:r>
            <w:r>
              <w:rPr>
                <w:rFonts w:hint="eastAsia" w:eastAsia="宋体"/>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none"/>
                <w:lang w:eastAsia="zh-CN"/>
              </w:rPr>
              <w:t>2022年5月28日</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highlight w:val="none"/>
                <w:u w:val="none"/>
                <w:lang w:val="en-US" w:eastAsia="zh-CN"/>
              </w:rPr>
              <w:t>2022年6月6日-7日</w:t>
            </w:r>
            <w:r>
              <w:rPr>
                <w:rFonts w:hint="eastAsia"/>
                <w:highlight w:val="none"/>
              </w:rPr>
              <w:t>实施了环境管理体系内部审核，对环境管理体系的符合性和有效性进行了审核。内审</w:t>
            </w:r>
            <w:r>
              <w:rPr>
                <w:rFonts w:hint="eastAsia"/>
                <w:highlight w:val="none"/>
                <w:lang w:val="en-US" w:eastAsia="zh-CN"/>
              </w:rPr>
              <w:t>发现的</w:t>
            </w:r>
            <w:r>
              <w:rPr>
                <w:rFonts w:hint="eastAsia"/>
                <w:highlight w:val="none"/>
                <w:u w:val="none"/>
                <w:lang w:val="en-US" w:eastAsia="zh-CN"/>
              </w:rPr>
              <w:t>1</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highlight w:val="none"/>
              </w:rPr>
              <w:t>，在</w:t>
            </w:r>
            <w:r>
              <w:rPr>
                <w:rFonts w:hint="eastAsia"/>
                <w:highlight w:val="none"/>
                <w:u w:val="none"/>
                <w:lang w:eastAsia="zh-CN"/>
              </w:rPr>
              <w:t>2022年7月1日</w:t>
            </w:r>
            <w:r>
              <w:rPr>
                <w:rFonts w:hint="eastAsia"/>
                <w:highlight w:val="none"/>
              </w:rPr>
              <w:t>对组织的环境管理体系进行了评审，以确保其持续的适宜性、充分性和有效性；管理评审输入、输出均</w:t>
            </w:r>
            <w:r>
              <w:rPr>
                <w:rFonts w:hint="eastAsia"/>
              </w:rPr>
              <w:t>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eastAsia="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val="en-US" w:eastAsia="zh-CN"/>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none"/>
              </w:rPr>
            </w:pPr>
            <w:r>
              <w:rPr>
                <w:rFonts w:hint="eastAsia"/>
              </w:rPr>
              <w:t>最高管理者制定了文件化的职业健康安全管理体系方针：</w:t>
            </w:r>
            <w:r>
              <w:rPr>
                <w:rFonts w:hint="eastAsia" w:ascii="Times New Roman" w:hAnsi="Times New Roman" w:eastAsia="宋体" w:cs="Times New Roman"/>
                <w:color w:val="000000"/>
                <w:szCs w:val="18"/>
                <w:u w:val="none"/>
              </w:rPr>
              <w:t>安全第一，预防为主；健康向上，持续改进</w:t>
            </w:r>
            <w:r>
              <w:rPr>
                <w:rFonts w:hint="eastAsia" w:ascii="Times New Roman" w:hAnsi="Times New Roman" w:eastAsia="宋体" w:cs="Times New Roman"/>
                <w:color w:val="000000"/>
                <w:szCs w:val="18"/>
                <w:u w:val="non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业务部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干勇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444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4" w:type="dxa"/>
                </w:tcPr>
                <w:p>
                  <w:r>
                    <w:rPr>
                      <w:rFonts w:hint="eastAsia"/>
                    </w:rPr>
                    <w:t>主要的风险或机遇描述</w:t>
                  </w:r>
                </w:p>
              </w:tc>
              <w:tc>
                <w:tcPr>
                  <w:tcW w:w="444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4" w:type="dxa"/>
                </w:tcPr>
                <w:p>
                  <w:pPr>
                    <w:rPr>
                      <w:rFonts w:hint="eastAsia" w:eastAsia="宋体"/>
                      <w:lang w:val="en-US" w:eastAsia="zh-CN"/>
                    </w:rPr>
                  </w:pPr>
                  <w:r>
                    <w:rPr>
                      <w:rFonts w:hint="eastAsia"/>
                      <w:lang w:val="en-US" w:eastAsia="zh-CN"/>
                    </w:rPr>
                    <w:t>火灾</w:t>
                  </w:r>
                </w:p>
              </w:tc>
              <w:tc>
                <w:tcPr>
                  <w:tcW w:w="4441"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4" w:type="dxa"/>
                </w:tcPr>
                <w:p>
                  <w:pPr>
                    <w:rPr>
                      <w:rFonts w:hint="default" w:eastAsia="宋体"/>
                      <w:lang w:val="en-US" w:eastAsia="zh-CN"/>
                    </w:rPr>
                  </w:pPr>
                  <w:r>
                    <w:rPr>
                      <w:rFonts w:hint="eastAsia" w:ascii="宋体" w:hAnsi="宋体" w:cs="宋体"/>
                      <w:szCs w:val="21"/>
                      <w:lang w:val="en-US" w:eastAsia="zh-CN"/>
                    </w:rPr>
                    <w:t>人身</w:t>
                  </w:r>
                  <w:r>
                    <w:rPr>
                      <w:rFonts w:hint="eastAsia" w:ascii="宋体" w:hAnsi="宋体" w:cs="宋体"/>
                      <w:szCs w:val="21"/>
                    </w:rPr>
                    <w:t>伤害</w:t>
                  </w:r>
                </w:p>
              </w:tc>
              <w:tc>
                <w:tcPr>
                  <w:tcW w:w="4441"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4"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职业病</w:t>
                  </w:r>
                </w:p>
              </w:tc>
              <w:tc>
                <w:tcPr>
                  <w:tcW w:w="4441"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346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shd w:val="clear" w:color="auto" w:fill="auto"/>
                </w:tcPr>
                <w:p>
                  <w:pPr>
                    <w:rPr>
                      <w:rFonts w:ascii="宋体" w:hAnsi="宋体"/>
                    </w:rPr>
                  </w:pPr>
                  <w:r>
                    <w:rPr>
                      <w:rFonts w:hint="eastAsia"/>
                    </w:rPr>
                    <w:t>职业健康安全</w:t>
                  </w:r>
                  <w:r>
                    <w:rPr>
                      <w:rFonts w:hint="eastAsia" w:ascii="宋体" w:hAnsi="宋体"/>
                    </w:rPr>
                    <w:t>目标</w:t>
                  </w:r>
                </w:p>
              </w:tc>
              <w:tc>
                <w:tcPr>
                  <w:tcW w:w="3463"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shd w:val="clear" w:color="auto" w:fill="auto"/>
                </w:tcPr>
                <w:p>
                  <w:r>
                    <w:rPr>
                      <w:rFonts w:hint="eastAsia" w:ascii="宋体" w:hAnsi="宋体" w:cs="Arial"/>
                      <w:iCs/>
                      <w:sz w:val="21"/>
                      <w:szCs w:val="21"/>
                      <w:highlight w:val="none"/>
                      <w:lang w:val="en-US" w:eastAsia="zh-CN" w:bidi="ar"/>
                    </w:rPr>
                    <w:t>人身伤亡为</w:t>
                  </w:r>
                  <w:r>
                    <w:rPr>
                      <w:rFonts w:hint="eastAsia" w:ascii="宋体" w:hAnsi="宋体" w:cs="宋体"/>
                      <w:color w:val="000000"/>
                      <w:szCs w:val="21"/>
                    </w:rPr>
                    <w:t>零</w:t>
                  </w:r>
                </w:p>
              </w:tc>
              <w:tc>
                <w:tcPr>
                  <w:tcW w:w="3463" w:type="dxa"/>
                  <w:shd w:val="clear" w:color="auto" w:fill="auto"/>
                  <w:vAlign w:val="center"/>
                </w:tcPr>
                <w:p>
                  <w:pPr>
                    <w:rPr>
                      <w:lang w:val="en-GB"/>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hint="default" w:eastAsia="宋体"/>
                      <w:lang w:val="en-US" w:eastAsia="zh-CN"/>
                    </w:rPr>
                  </w:pPr>
                  <w:r>
                    <w:rPr>
                      <w:rFonts w:hint="eastAsia"/>
                      <w:lang w:val="en-US" w:eastAsia="zh-CN"/>
                    </w:rPr>
                    <w:t>业务部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shd w:val="clear" w:color="auto" w:fill="auto"/>
                </w:tcPr>
                <w:p>
                  <w:r>
                    <w:rPr>
                      <w:rFonts w:hint="eastAsia" w:ascii="宋体" w:hAnsi="宋体" w:cs="宋体"/>
                      <w:color w:val="000000"/>
                      <w:szCs w:val="21"/>
                    </w:rPr>
                    <w:t>火灾事故为零</w:t>
                  </w:r>
                </w:p>
              </w:tc>
              <w:tc>
                <w:tcPr>
                  <w:tcW w:w="3463"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rPr>
                  </w:pPr>
                  <w:r>
                    <w:rPr>
                      <w:rFonts w:hint="eastAsia"/>
                      <w:lang w:val="en-US" w:eastAsia="zh-CN"/>
                    </w:rPr>
                    <w:t>行政部</w:t>
                  </w:r>
                </w:p>
              </w:tc>
              <w:tc>
                <w:tcPr>
                  <w:tcW w:w="1774" w:type="dxa"/>
                  <w:shd w:val="clear" w:color="auto" w:fill="auto"/>
                  <w:vAlign w:val="center"/>
                </w:tcPr>
                <w:p>
                  <w:pPr>
                    <w:jc w:val="center"/>
                    <w:rPr>
                      <w:rFonts w:hint="default" w:ascii="宋体" w:hAnsi="宋体"/>
                      <w:lang w:val="en-US"/>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4" w:type="dxa"/>
                  <w:shd w:val="clear" w:color="auto" w:fill="auto"/>
                </w:tcPr>
                <w:p>
                  <w:pPr>
                    <w:rPr>
                      <w:rFonts w:hint="default" w:eastAsia="宋体"/>
                      <w:lang w:val="en-US" w:eastAsia="zh-CN"/>
                    </w:rPr>
                  </w:pPr>
                  <w:r>
                    <w:rPr>
                      <w:rFonts w:hint="eastAsia"/>
                      <w:lang w:val="en-US" w:eastAsia="zh-CN"/>
                    </w:rPr>
                    <w:t>无职业病发生</w:t>
                  </w:r>
                </w:p>
              </w:tc>
              <w:tc>
                <w:tcPr>
                  <w:tcW w:w="3463"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jc w:val="left"/>
                    <w:rPr>
                      <w:rFonts w:hint="default" w:ascii="宋体" w:hAnsi="宋体" w:eastAsia="宋体"/>
                      <w:lang w:val="en-US" w:eastAsia="zh-CN"/>
                    </w:rPr>
                  </w:pPr>
                  <w:r>
                    <w:rPr>
                      <w:rFonts w:hint="eastAsia" w:ascii="宋体" w:hAnsi="宋体"/>
                      <w:lang w:val="en-US" w:eastAsia="zh-CN"/>
                    </w:rPr>
                    <w:t>无职业病病例发生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shd w:val="clear" w:color="auto" w:fill="auto"/>
                </w:tcPr>
                <w:p/>
              </w:tc>
              <w:tc>
                <w:tcPr>
                  <w:tcW w:w="3463"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shd w:val="clear" w:color="auto" w:fill="auto"/>
                </w:tcPr>
                <w:p/>
              </w:tc>
              <w:tc>
                <w:tcPr>
                  <w:tcW w:w="3463"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700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0</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0</w:t>
            </w:r>
            <w:r>
              <w:rPr>
                <w:rFonts w:hint="eastAsia" w:ascii="Times New Roman" w:hAnsi="Times New Roman" w:eastAsia="宋体" w:cs="Times New Roman"/>
              </w:rPr>
              <w:t>个；</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主要生产设备有：电脑及办公设备、洒水车、洗扫车、高压冲洗机、快速保洁车、电动扫地车等</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Pr>
              <w:rPr>
                <w:rFonts w:hint="default" w:eastAsia="宋体"/>
                <w:lang w:val="en-US" w:eastAsia="zh-CN"/>
              </w:rPr>
            </w:pPr>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离职</w:t>
            </w:r>
            <w:r>
              <w:rPr>
                <w:rFonts w:hint="eastAsia"/>
                <w:lang w:val="en-US" w:eastAsia="zh-CN"/>
              </w:rPr>
              <w:t xml:space="preserve"> 查近期</w:t>
            </w:r>
            <w:r>
              <w:rPr>
                <w:rFonts w:hint="eastAsia"/>
              </w:rPr>
              <w:t>员工三级安全教育</w:t>
            </w:r>
            <w:r>
              <w:rPr>
                <w:rFonts w:hint="eastAsia"/>
                <w:lang w:val="en-US" w:eastAsia="zh-CN"/>
              </w:rPr>
              <w:t>情况，未提供实施的证实，需整改。</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管理方案、应急预案</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rFonts w:hint="eastAsia"/>
              </w:rPr>
            </w:pPr>
            <w:r>
              <w:rPr>
                <w:rFonts w:hint="eastAsia"/>
              </w:rPr>
              <w:t>特种设备管理：</w:t>
            </w:r>
            <w:r>
              <w:rPr>
                <w:rFonts w:hint="eastAsia"/>
                <w:lang w:eastAsia="zh-CN"/>
              </w:rPr>
              <w:t>□</w:t>
            </w:r>
            <w:r>
              <w:rPr>
                <w:rFonts w:hint="eastAsia"/>
              </w:rPr>
              <w:t xml:space="preserve">进行了定期检验  </w:t>
            </w:r>
            <w:r>
              <w:rPr>
                <w:rFonts w:hint="eastAsia"/>
                <w:lang w:eastAsia="zh-CN"/>
              </w:rPr>
              <w:t>□</w:t>
            </w:r>
            <w:r>
              <w:rPr>
                <w:rFonts w:hint="eastAsia"/>
              </w:rPr>
              <w:t xml:space="preserve">未进行定期检验的有：                 </w:t>
            </w:r>
          </w:p>
          <w:p>
            <w:r>
              <w:rPr>
                <w:rFonts w:hint="eastAsia"/>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eastAsia="宋体"/>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hint="eastAsia" w:eastAsia="宋体"/>
              </w:rPr>
            </w:pPr>
            <w:r>
              <w:rPr>
                <w:rFonts w:hint="eastAsia" w:eastAsia="宋体"/>
                <w:highlight w:val="none"/>
              </w:rPr>
              <w:t>于</w:t>
            </w:r>
            <w:r>
              <w:rPr>
                <w:rFonts w:hint="eastAsia"/>
                <w:highlight w:val="none"/>
                <w:u w:val="none"/>
                <w:lang w:eastAsia="zh-CN"/>
              </w:rPr>
              <w:t>2022年5月26日</w:t>
            </w:r>
            <w:r>
              <w:rPr>
                <w:rFonts w:hint="eastAsia" w:eastAsia="宋体"/>
                <w:highlight w:val="none"/>
              </w:rPr>
              <w:t>进行</w:t>
            </w:r>
            <w:r>
              <w:rPr>
                <w:rFonts w:hint="eastAsia" w:eastAsia="宋体"/>
              </w:rPr>
              <w:t xml:space="preserve">了火灾消防的演练；并总结了预案的可行性和有效性。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lang w:eastAsia="zh-CN"/>
              </w:rPr>
              <w:t>■</w:t>
            </w:r>
            <w:r>
              <w:rPr>
                <w:rFonts w:hint="eastAsia" w:ascii="Times New Roman" w:hAnsi="Times New Roman" w:eastAsia="宋体" w:cs="Times New Roman"/>
              </w:rPr>
              <w:t>定期（每年）</w:t>
            </w:r>
            <w:r>
              <w:rPr>
                <w:rFonts w:hint="eastAsia" w:ascii="Times New Roman" w:hAnsi="Times New Roman" w:eastAsia="宋体" w:cs="Times New Roman"/>
                <w:highlight w:val="none"/>
              </w:rPr>
              <w:t xml:space="preserve"> ：</w:t>
            </w:r>
            <w:r>
              <w:rPr>
                <w:rFonts w:hint="eastAsia" w:cs="Times New Roman"/>
                <w:highlight w:val="none"/>
                <w:lang w:eastAsia="zh-CN"/>
              </w:rPr>
              <w:t>2022年5月28日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u w:val="none"/>
                <w:lang w:val="en-US" w:eastAsia="zh-CN"/>
              </w:rPr>
              <w:t>2022</w:t>
            </w:r>
            <w:r>
              <w:rPr>
                <w:rFonts w:hint="eastAsia"/>
                <w:highlight w:val="none"/>
                <w:u w:val="none"/>
              </w:rPr>
              <w:t>年</w:t>
            </w:r>
            <w:r>
              <w:rPr>
                <w:rFonts w:hint="eastAsia"/>
                <w:highlight w:val="none"/>
                <w:u w:val="none"/>
                <w:lang w:val="en-US" w:eastAsia="zh-CN"/>
              </w:rPr>
              <w:t>6</w:t>
            </w:r>
            <w:r>
              <w:rPr>
                <w:rFonts w:hint="eastAsia"/>
                <w:highlight w:val="none"/>
                <w:u w:val="none"/>
              </w:rPr>
              <w:t>月</w:t>
            </w:r>
            <w:r>
              <w:rPr>
                <w:rFonts w:hint="eastAsia"/>
                <w:highlight w:val="none"/>
                <w:u w:val="none"/>
                <w:lang w:val="en-US" w:eastAsia="zh-CN"/>
              </w:rPr>
              <w:t>6日-7日</w:t>
            </w:r>
            <w:r>
              <w:rPr>
                <w:rFonts w:hint="eastAsia"/>
                <w:highlight w:val="none"/>
              </w:rPr>
              <w:t>实施了职业健康安全管理体系内部审核，对职业健康安全管理体系的符合性和有效性进行了审核。内审发现的</w:t>
            </w:r>
            <w:r>
              <w:rPr>
                <w:rFonts w:hint="eastAsia"/>
                <w:highlight w:val="none"/>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highlight w:val="none"/>
                <w:u w:val="none"/>
              </w:rPr>
              <w:t xml:space="preserve"> </w:t>
            </w:r>
            <w:r>
              <w:rPr>
                <w:rFonts w:hint="eastAsia"/>
                <w:highlight w:val="none"/>
                <w:u w:val="none"/>
                <w:lang w:val="en-US" w:eastAsia="zh-CN"/>
              </w:rPr>
              <w:t>2022</w:t>
            </w:r>
            <w:r>
              <w:rPr>
                <w:rFonts w:hint="eastAsia"/>
                <w:highlight w:val="none"/>
                <w:u w:val="none"/>
              </w:rPr>
              <w:t>年</w:t>
            </w:r>
            <w:r>
              <w:rPr>
                <w:rFonts w:hint="eastAsia"/>
                <w:highlight w:val="none"/>
                <w:u w:val="none"/>
                <w:lang w:val="en-US" w:eastAsia="zh-CN"/>
              </w:rPr>
              <w:t>7</w:t>
            </w:r>
            <w:r>
              <w:rPr>
                <w:rFonts w:hint="eastAsia"/>
                <w:highlight w:val="none"/>
                <w:u w:val="none"/>
              </w:rPr>
              <w:t>月</w:t>
            </w:r>
            <w:r>
              <w:rPr>
                <w:rFonts w:hint="eastAsia"/>
                <w:highlight w:val="none"/>
                <w:u w:val="none"/>
                <w:lang w:val="en-US" w:eastAsia="zh-CN"/>
              </w:rPr>
              <w:t>1</w:t>
            </w:r>
            <w:r>
              <w:rPr>
                <w:rFonts w:hint="eastAsia"/>
                <w:highlight w:val="none"/>
                <w:u w:val="none"/>
              </w:rPr>
              <w:t>日</w:t>
            </w:r>
            <w:r>
              <w:rPr>
                <w:rFonts w:hint="eastAsia"/>
                <w:highlight w:val="none"/>
              </w:rPr>
              <w:t>对组织的职业健康安全管理体系进行了评审，以确保其持续的适宜性、充分性和有效性；管理评审输</w:t>
            </w:r>
            <w:r>
              <w:rPr>
                <w:rFonts w:hint="eastAsia"/>
              </w:rPr>
              <w:t>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pStyle w:val="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mNDE1OTA0NjMzMTc3MjRkMDFmMDVlMjFhNzg3YjQifQ=="/>
  </w:docVars>
  <w:rsids>
    <w:rsidRoot w:val="00000000"/>
    <w:rsid w:val="00D869B5"/>
    <w:rsid w:val="038510F9"/>
    <w:rsid w:val="044C2EB2"/>
    <w:rsid w:val="05F23A3F"/>
    <w:rsid w:val="078F4FB2"/>
    <w:rsid w:val="08E10C23"/>
    <w:rsid w:val="09795C5D"/>
    <w:rsid w:val="09BB0D18"/>
    <w:rsid w:val="0A1357D3"/>
    <w:rsid w:val="0A187F18"/>
    <w:rsid w:val="0A1F1738"/>
    <w:rsid w:val="0AA06E6C"/>
    <w:rsid w:val="0BDB744F"/>
    <w:rsid w:val="0BF95B27"/>
    <w:rsid w:val="0C4D5777"/>
    <w:rsid w:val="0C880C59"/>
    <w:rsid w:val="0D8415C1"/>
    <w:rsid w:val="0F0B6A95"/>
    <w:rsid w:val="0FF02D9D"/>
    <w:rsid w:val="12BB3B36"/>
    <w:rsid w:val="140536E8"/>
    <w:rsid w:val="14EE3158"/>
    <w:rsid w:val="16555700"/>
    <w:rsid w:val="17BF739D"/>
    <w:rsid w:val="17F10BE1"/>
    <w:rsid w:val="18106CBB"/>
    <w:rsid w:val="18BB0285"/>
    <w:rsid w:val="1A6300E0"/>
    <w:rsid w:val="1AEC0D6E"/>
    <w:rsid w:val="1CDC4DD5"/>
    <w:rsid w:val="1D3D6A4B"/>
    <w:rsid w:val="1FBC0EEE"/>
    <w:rsid w:val="2103513E"/>
    <w:rsid w:val="235E0836"/>
    <w:rsid w:val="243A5649"/>
    <w:rsid w:val="2547018E"/>
    <w:rsid w:val="257317E4"/>
    <w:rsid w:val="257F3CE6"/>
    <w:rsid w:val="26904F49"/>
    <w:rsid w:val="26E869A5"/>
    <w:rsid w:val="27C01C8B"/>
    <w:rsid w:val="28557415"/>
    <w:rsid w:val="293C4851"/>
    <w:rsid w:val="2970538A"/>
    <w:rsid w:val="2B3F2B94"/>
    <w:rsid w:val="2B64095F"/>
    <w:rsid w:val="2C407400"/>
    <w:rsid w:val="2C7C270D"/>
    <w:rsid w:val="2C906C60"/>
    <w:rsid w:val="2CD50E1A"/>
    <w:rsid w:val="2CDE4535"/>
    <w:rsid w:val="2D1F6963"/>
    <w:rsid w:val="2E25123C"/>
    <w:rsid w:val="2ECD15E4"/>
    <w:rsid w:val="3043758A"/>
    <w:rsid w:val="329F4D04"/>
    <w:rsid w:val="32A221C5"/>
    <w:rsid w:val="32FC18D5"/>
    <w:rsid w:val="33217324"/>
    <w:rsid w:val="334C0B5A"/>
    <w:rsid w:val="34D66156"/>
    <w:rsid w:val="35DC59EE"/>
    <w:rsid w:val="35EA0E10"/>
    <w:rsid w:val="37F814F6"/>
    <w:rsid w:val="3882287D"/>
    <w:rsid w:val="3B3B778B"/>
    <w:rsid w:val="3B457B92"/>
    <w:rsid w:val="3C5F6A31"/>
    <w:rsid w:val="3FD23A1F"/>
    <w:rsid w:val="40B21825"/>
    <w:rsid w:val="418B49E4"/>
    <w:rsid w:val="41E07CCF"/>
    <w:rsid w:val="426F40A9"/>
    <w:rsid w:val="42986A8D"/>
    <w:rsid w:val="42D014F6"/>
    <w:rsid w:val="430C4C8B"/>
    <w:rsid w:val="464E0242"/>
    <w:rsid w:val="469004E9"/>
    <w:rsid w:val="4729480B"/>
    <w:rsid w:val="4AD827D0"/>
    <w:rsid w:val="4B357ACF"/>
    <w:rsid w:val="4BA34B8C"/>
    <w:rsid w:val="4C830758"/>
    <w:rsid w:val="4E4D31B4"/>
    <w:rsid w:val="4F062BCC"/>
    <w:rsid w:val="4F4F00A5"/>
    <w:rsid w:val="4F980780"/>
    <w:rsid w:val="50311A25"/>
    <w:rsid w:val="50C4134E"/>
    <w:rsid w:val="51DB7AF9"/>
    <w:rsid w:val="528D6E8D"/>
    <w:rsid w:val="529D7E1A"/>
    <w:rsid w:val="538871F3"/>
    <w:rsid w:val="53924EB1"/>
    <w:rsid w:val="53A9759F"/>
    <w:rsid w:val="59B77093"/>
    <w:rsid w:val="5B366A24"/>
    <w:rsid w:val="5C273E95"/>
    <w:rsid w:val="5CE16F96"/>
    <w:rsid w:val="5CF5541A"/>
    <w:rsid w:val="5D20445F"/>
    <w:rsid w:val="5E2E58FB"/>
    <w:rsid w:val="5EC953EE"/>
    <w:rsid w:val="5F2F37BF"/>
    <w:rsid w:val="5F6854E4"/>
    <w:rsid w:val="5FD30251"/>
    <w:rsid w:val="60003F04"/>
    <w:rsid w:val="60244033"/>
    <w:rsid w:val="61E17D65"/>
    <w:rsid w:val="62832486"/>
    <w:rsid w:val="64BC3F71"/>
    <w:rsid w:val="653641E1"/>
    <w:rsid w:val="65A9003F"/>
    <w:rsid w:val="664F7993"/>
    <w:rsid w:val="67F60DFC"/>
    <w:rsid w:val="68C203A3"/>
    <w:rsid w:val="6A7C4ACE"/>
    <w:rsid w:val="6AC3133E"/>
    <w:rsid w:val="6B07083C"/>
    <w:rsid w:val="6C054798"/>
    <w:rsid w:val="6CB24CF1"/>
    <w:rsid w:val="6CC83FFB"/>
    <w:rsid w:val="6F506FA1"/>
    <w:rsid w:val="6F6B5749"/>
    <w:rsid w:val="6F8C7562"/>
    <w:rsid w:val="70F52EE5"/>
    <w:rsid w:val="722F4D16"/>
    <w:rsid w:val="72BA083A"/>
    <w:rsid w:val="72D54D7C"/>
    <w:rsid w:val="738865DB"/>
    <w:rsid w:val="744D1707"/>
    <w:rsid w:val="74A23383"/>
    <w:rsid w:val="74CD2D7A"/>
    <w:rsid w:val="76F42019"/>
    <w:rsid w:val="77E07DE6"/>
    <w:rsid w:val="7C1C7EBF"/>
    <w:rsid w:val="7C9C6069"/>
    <w:rsid w:val="7EEF7017"/>
    <w:rsid w:val="7FF86B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2022-08-24T06:39:33Z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