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6"/>
        <w:gridCol w:w="1207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广汉市盛鸿达建材有限公司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商务洽谈----签订合同-----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产品----产品交付----售后服务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</w:rPr>
              <w:t>固体废弃物的排放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潜在火灾</w:t>
            </w:r>
            <w:r>
              <w:rPr>
                <w:rFonts w:hint="eastAsia" w:ascii="宋体" w:hAnsi="宋体"/>
                <w:sz w:val="24"/>
                <w:lang w:eastAsia="zh-CN"/>
              </w:rPr>
              <w:t>；按运行程序控制、按目标指标管理方案控制、应急预案控制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环境保护法、中华人民共和国消防法、中华人民共和国固体废物污染环境防治法、中华人民共和国环境噪声污染防治法、中华人民共和国大气污染防治法、中华人民共和国节约能源法、环境空气质量标准 GB3095-2012、大气污染物综合排放标准 GB16297-1996、污水综合排放标准 GB8978-1996、工业企业厂界环境噪声排放标准 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187325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198755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3645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2022-08-13T12:47:13Z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