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0449-2020-QO-2022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道达电动车制造成都有限公司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Q:ISC-Q-2020-1077,O:ISC-O-2020-0658,E:ISC-E-2020-0719</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915101293215291328</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lang w:eastAsia="zh-CN"/>
              </w:rPr>
              <w:t>□</w:t>
            </w:r>
            <w:r>
              <w:rPr>
                <w:rFonts w:hint="eastAsia"/>
                <w:sz w:val="22"/>
                <w:szCs w:val="22"/>
              </w:rPr>
              <w:t xml:space="preserve"> 带标  </w:t>
            </w:r>
            <w:r>
              <w:rPr>
                <w:rFonts w:hint="eastAsia" w:ascii="Wingdings" w:hAnsi="Wingdings"/>
                <w:sz w:val="22"/>
                <w:szCs w:val="22"/>
                <w:lang w:eastAsia="zh-CN"/>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r>
              <w:rPr>
                <w:rFonts w:hint="eastAsia"/>
                <w:sz w:val="22"/>
                <w:szCs w:val="22"/>
                <w:lang w:eastAsia="zh-CN"/>
              </w:rPr>
              <w:t>□</w:t>
            </w:r>
            <w:r>
              <w:rPr>
                <w:rFonts w:hint="eastAsia"/>
                <w:sz w:val="22"/>
                <w:szCs w:val="22"/>
              </w:rPr>
              <w:t xml:space="preserve"> GB/T 50430-2017 (不适用：  条款)；</w:t>
            </w:r>
          </w:p>
          <w:p>
            <w:pPr>
              <w:snapToGrid w:val="0"/>
              <w:spacing w:line="0" w:lineRule="atLeast"/>
              <w:jc w:val="left"/>
              <w:rPr>
                <w:sz w:val="22"/>
                <w:szCs w:val="22"/>
              </w:rPr>
            </w:pPr>
            <w:bookmarkStart w:id="6" w:name="E勾选"/>
            <w:r>
              <w:rPr>
                <w:rFonts w:hint="eastAsia"/>
                <w:sz w:val="22"/>
                <w:szCs w:val="22"/>
              </w:rPr>
              <w:t>■</w:t>
            </w:r>
            <w:bookmarkEnd w:id="6"/>
            <w:r>
              <w:rPr>
                <w:rFonts w:hint="eastAsia"/>
                <w:sz w:val="22"/>
                <w:szCs w:val="22"/>
              </w:rPr>
              <w:t xml:space="preserve"> GB/T 24001-2016 idt ISO 14001:2015标准；</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45001:2018标准；</w:t>
            </w:r>
          </w:p>
          <w:p>
            <w:pPr>
              <w:snapToGrid w:val="0"/>
              <w:spacing w:line="0" w:lineRule="atLeast"/>
              <w:jc w:val="left"/>
              <w:rPr>
                <w:sz w:val="22"/>
                <w:szCs w:val="22"/>
              </w:rPr>
            </w:pPr>
            <w:bookmarkStart w:id="8" w:name="EnMS勾选"/>
            <w:r>
              <w:rPr>
                <w:rFonts w:hint="eastAsia"/>
                <w:sz w:val="22"/>
                <w:szCs w:val="22"/>
              </w:rPr>
              <w:t>□</w:t>
            </w:r>
            <w:bookmarkEnd w:id="8"/>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rFonts w:hint="default" w:eastAsia="宋体"/>
                <w:sz w:val="22"/>
                <w:szCs w:val="22"/>
                <w:lang w:val="en-US" w:eastAsia="zh-CN"/>
              </w:rPr>
            </w:pPr>
            <w:bookmarkStart w:id="11" w:name="体系人数"/>
            <w:r>
              <w:rPr>
                <w:sz w:val="22"/>
                <w:szCs w:val="22"/>
              </w:rPr>
              <w:t>Q:</w:t>
            </w:r>
            <w:r>
              <w:rPr>
                <w:rFonts w:hint="eastAsia"/>
                <w:sz w:val="22"/>
                <w:szCs w:val="22"/>
                <w:lang w:val="en-US" w:eastAsia="zh-CN"/>
              </w:rPr>
              <w:t>43</w:t>
            </w:r>
            <w:r>
              <w:rPr>
                <w:sz w:val="22"/>
                <w:szCs w:val="22"/>
              </w:rPr>
              <w:t>,O:</w:t>
            </w:r>
            <w:r>
              <w:rPr>
                <w:rFonts w:hint="eastAsia"/>
                <w:sz w:val="22"/>
                <w:szCs w:val="22"/>
                <w:lang w:val="en-US" w:eastAsia="zh-CN"/>
              </w:rPr>
              <w:t>43</w:t>
            </w:r>
            <w:r>
              <w:rPr>
                <w:sz w:val="22"/>
                <w:szCs w:val="22"/>
              </w:rPr>
              <w:t>,E:</w:t>
            </w:r>
            <w:bookmarkEnd w:id="11"/>
            <w:r>
              <w:rPr>
                <w:rFonts w:hint="eastAsia"/>
                <w:sz w:val="22"/>
                <w:szCs w:val="22"/>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6" w:name="组织名称Add1"/>
            <w:r>
              <w:rPr>
                <w:rFonts w:hint="eastAsia"/>
                <w:sz w:val="22"/>
                <w:szCs w:val="22"/>
              </w:rPr>
              <w:t>道达电动车制造成都有限公司</w:t>
            </w:r>
            <w:bookmarkEnd w:id="16"/>
          </w:p>
        </w:tc>
        <w:tc>
          <w:tcPr>
            <w:tcW w:w="5013" w:type="dxa"/>
            <w:gridSpan w:val="4"/>
            <w:vMerge w:val="restart"/>
          </w:tcPr>
          <w:p>
            <w:pPr>
              <w:snapToGrid w:val="0"/>
              <w:spacing w:line="0" w:lineRule="atLeast"/>
              <w:jc w:val="left"/>
              <w:rPr>
                <w:sz w:val="22"/>
                <w:szCs w:val="22"/>
              </w:rPr>
            </w:pPr>
            <w:bookmarkStart w:id="17" w:name="审核范围"/>
            <w:r>
              <w:rPr>
                <w:sz w:val="22"/>
                <w:szCs w:val="22"/>
              </w:rPr>
              <w:t>Q：非公路用旅游观光车的研发、生产、销售</w:t>
            </w:r>
          </w:p>
          <w:p>
            <w:pPr>
              <w:snapToGrid w:val="0"/>
              <w:spacing w:line="0" w:lineRule="atLeast"/>
              <w:jc w:val="left"/>
              <w:rPr>
                <w:sz w:val="22"/>
                <w:szCs w:val="22"/>
              </w:rPr>
            </w:pPr>
            <w:r>
              <w:rPr>
                <w:sz w:val="22"/>
                <w:szCs w:val="22"/>
              </w:rPr>
              <w:t>O：非公路用旅游观光车的研发、生产、销售所涉及的相关职业健康安全管理活动</w:t>
            </w:r>
          </w:p>
          <w:p>
            <w:pPr>
              <w:snapToGrid w:val="0"/>
              <w:spacing w:line="0" w:lineRule="atLeast"/>
              <w:jc w:val="left"/>
              <w:rPr>
                <w:sz w:val="22"/>
                <w:szCs w:val="22"/>
              </w:rPr>
            </w:pPr>
            <w:r>
              <w:rPr>
                <w:sz w:val="22"/>
                <w:szCs w:val="22"/>
              </w:rPr>
              <w:t>E：非公路用旅游观光车的研发、生产、销售所涉及场所的相关环境管理活动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成都市大邑县晋原镇建业路北段180号</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9" w:name="办公地址"/>
            <w:r>
              <w:rPr>
                <w:rFonts w:hint="eastAsia"/>
                <w:sz w:val="22"/>
                <w:szCs w:val="22"/>
                <w:lang w:val="en-GB"/>
              </w:rPr>
              <w:t>成都市大邑县晋原镇建业路北段180号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drawing>
                <wp:anchor distT="0" distB="0" distL="114300" distR="114300" simplePos="0" relativeHeight="251661312" behindDoc="0" locked="0" layoutInCell="1" allowOverlap="1">
                  <wp:simplePos x="0" y="0"/>
                  <wp:positionH relativeFrom="column">
                    <wp:posOffset>120015</wp:posOffset>
                  </wp:positionH>
                  <wp:positionV relativeFrom="paragraph">
                    <wp:posOffset>137795</wp:posOffset>
                  </wp:positionV>
                  <wp:extent cx="371475" cy="341630"/>
                  <wp:effectExtent l="0" t="0" r="9525" b="12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5" cstate="print"/>
                          <a:srcRect/>
                          <a:stretch>
                            <a:fillRect/>
                          </a:stretch>
                        </pic:blipFill>
                        <pic:spPr>
                          <a:xfrm>
                            <a:off x="0" y="0"/>
                            <a:ext cx="371475" cy="341630"/>
                          </a:xfrm>
                          <a:prstGeom prst="rect">
                            <a:avLst/>
                          </a:prstGeom>
                          <a:noFill/>
                          <a:ln w="9525">
                            <a:noFill/>
                            <a:miter lim="800000"/>
                            <a:headEnd/>
                            <a:tailEnd/>
                          </a:ln>
                        </pic:spPr>
                      </pic:pic>
                    </a:graphicData>
                  </a:graphic>
                </wp:anchor>
              </w:drawing>
            </w: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b/>
          <w:color w:val="000000" w:themeColor="text1"/>
          <w:sz w:val="18"/>
          <w:szCs w:val="18"/>
          <w:lang w:val="en-GB"/>
        </w:rPr>
      </w:pPr>
      <w:r>
        <w:rPr>
          <w:rFonts w:hint="eastAsia"/>
        </w:rPr>
        <w:t>7、翻译费用可直接与审核费用一同汇入我公司账户或由审核组长从现场带回。</w:t>
      </w: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FmNDE1OTA0NjMzMTc3MjRkMDFmMDVlMjFhNzg3YjQifQ=="/>
  </w:docVars>
  <w:rsids>
    <w:rsidRoot w:val="00000000"/>
    <w:rsid w:val="064C10EF"/>
    <w:rsid w:val="36560EE8"/>
    <w:rsid w:val="3E815385"/>
    <w:rsid w:val="51F95E91"/>
    <w:rsid w:val="5C33702F"/>
    <w:rsid w:val="63100901"/>
    <w:rsid w:val="7D576B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0</TotalTime>
  <ScaleCrop>false</ScaleCrop>
  <LinksUpToDate>false</LinksUpToDate>
  <CharactersWithSpaces>2588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2022-08-08T07:02:03Z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2052-11.1.0.12302</vt:lpwstr>
  </property>
</Properties>
</file>