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重庆市圆丰除尘技术有限责任公司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  <w:lang w:val="en-US" w:eastAsia="zh-CN"/>
              </w:rPr>
              <w:t>查环境安全运行检查记录时，管理规定行政部应在每月初对公司水电管理、资源管理、消防安全管理等内容进行检查</w:t>
            </w:r>
            <w:r>
              <w:rPr>
                <w:rFonts w:hint="eastAsia" w:ascii="方正仿宋简体" w:eastAsia="方正仿宋简体"/>
                <w:b/>
              </w:rPr>
              <w:t>，未能提供202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月份的检查记录。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组织应保留适当的文件化信息，作为监视、测量、分析和评价结果的证据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组织应建立、实施和保持用于监视、测量、分析和评价绩效的过程。e)组织应保留适当的文件化信息：作为监视、测量、分析和评价绩效的结果的证据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4C01EA"/>
    <w:rsid w:val="05BF38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493</Words>
  <Characters>643</Characters>
  <Lines>6</Lines>
  <Paragraphs>1</Paragraphs>
  <TotalTime>0</TotalTime>
  <ScaleCrop>false</ScaleCrop>
  <LinksUpToDate>false</LinksUpToDate>
  <CharactersWithSpaces>870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2022-08-01T05:22:48Z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