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0689-2021-Q-2022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陇西县钧盛水泥制造有限责任公司</w:t>
      </w:r>
      <w:bookmarkEnd w:id="1"/>
    </w:p>
    <w:p>
      <w:pPr>
        <w:rPr>
          <w:sz w:val="28"/>
          <w:szCs w:val="28"/>
        </w:rPr>
      </w:pPr>
    </w:p>
    <w:p>
      <w:pPr>
        <w:rPr>
          <w:sz w:val="28"/>
          <w:szCs w:val="28"/>
        </w:rPr>
      </w:pPr>
      <w:r>
        <w:rPr>
          <w:rFonts w:hint="eastAsia"/>
          <w:sz w:val="28"/>
          <w:szCs w:val="28"/>
        </w:rPr>
        <w:t>审核体系：</w:t>
      </w:r>
    </w:p>
    <w:p>
      <w:pPr>
        <w:jc w:val="left"/>
        <w:rPr>
          <w:rFonts w:hint="default" w:eastAsia="宋体"/>
          <w:sz w:val="28"/>
          <w:szCs w:val="28"/>
          <w:lang w:val="en-US" w:eastAsia="zh-CN"/>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r>
        <w:rPr>
          <w:rFonts w:hint="eastAsia"/>
          <w:sz w:val="28"/>
          <w:szCs w:val="28"/>
          <w:lang w:val="en-US" w:eastAsia="zh-CN"/>
        </w:rPr>
        <w:t>第一次监督审核</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陇西县钧盛水泥制造有限责任公司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甘肃省定西市陇西县云田镇北站村渭阳路口(执法局建筑垃圾填埋场)</w:t>
            </w:r>
            <w:bookmarkEnd w:id="6"/>
          </w:p>
        </w:tc>
        <w:tc>
          <w:tcPr>
            <w:tcW w:w="1242" w:type="dxa"/>
            <w:vMerge w:val="restart"/>
            <w:vAlign w:val="center"/>
          </w:tcPr>
          <w:p>
            <w:r>
              <w:rPr>
                <w:rFonts w:hint="eastAsia"/>
              </w:rPr>
              <w:t>邮编</w:t>
            </w:r>
          </w:p>
        </w:tc>
        <w:tc>
          <w:tcPr>
            <w:tcW w:w="1771" w:type="dxa"/>
          </w:tcPr>
          <w:p>
            <w:bookmarkStart w:id="7" w:name="注册邮编"/>
            <w:r>
              <w:t>748100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甘肃省定西市陇西县云田镇北站村渭阳路口(执法局建筑垃圾填埋场)</w:t>
            </w:r>
            <w:bookmarkEnd w:id="8"/>
          </w:p>
        </w:tc>
        <w:tc>
          <w:tcPr>
            <w:tcW w:w="1242" w:type="dxa"/>
            <w:vMerge w:val="continue"/>
            <w:vAlign w:val="center"/>
          </w:tcPr>
          <w:p/>
        </w:tc>
        <w:tc>
          <w:tcPr>
            <w:tcW w:w="1771" w:type="dxa"/>
          </w:tcPr>
          <w:p>
            <w:bookmarkStart w:id="9" w:name="办公邮编"/>
            <w:r>
              <w:t>748100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bookmarkEnd w:id="10"/>
            <w:r>
              <w:t>毛欣</w:t>
            </w:r>
          </w:p>
        </w:tc>
        <w:tc>
          <w:tcPr>
            <w:tcW w:w="1313" w:type="dxa"/>
            <w:vAlign w:val="center"/>
          </w:tcPr>
          <w:p>
            <w:r>
              <w:rPr>
                <w:rFonts w:hint="eastAsia"/>
              </w:rPr>
              <w:t>电话.</w:t>
            </w:r>
          </w:p>
        </w:tc>
        <w:tc>
          <w:tcPr>
            <w:tcW w:w="2180" w:type="dxa"/>
            <w:vAlign w:val="center"/>
          </w:tcPr>
          <w:p>
            <w:bookmarkStart w:id="11" w:name="联系人电话"/>
            <w:bookmarkEnd w:id="11"/>
            <w:r>
              <w:rPr>
                <w:rFonts w:ascii="Times New Roman" w:hAnsi="Times New Roman" w:eastAsia="宋体" w:cs="Times New Roman"/>
              </w:rPr>
              <w:t>17793223635</w:t>
            </w:r>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陈海舟</w:t>
            </w:r>
            <w:bookmarkEnd w:id="13"/>
          </w:p>
        </w:tc>
        <w:tc>
          <w:tcPr>
            <w:tcW w:w="1313" w:type="dxa"/>
            <w:vAlign w:val="center"/>
          </w:tcPr>
          <w:p>
            <w:r>
              <w:rPr>
                <w:rFonts w:hint="eastAsia"/>
              </w:rPr>
              <w:t>管理者代表</w:t>
            </w:r>
          </w:p>
        </w:tc>
        <w:tc>
          <w:tcPr>
            <w:tcW w:w="2180" w:type="dxa"/>
          </w:tcPr>
          <w:p>
            <w:bookmarkStart w:id="14" w:name="管理者代表"/>
            <w:r>
              <w:t>毛欣</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ascii="宋体" w:hAnsi="宋体" w:eastAsia="宋体" w:cs="宋体"/>
              </w:rPr>
              <w:t>▉</w:t>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adjustRightInd w:val="0"/>
              <w:snapToGrid w:val="0"/>
              <w:spacing w:line="360" w:lineRule="auto"/>
              <w:rPr>
                <w:rFonts w:ascii="宋体" w:hAnsi="宋体" w:cs="宋体"/>
                <w:color w:val="000000"/>
                <w:kern w:val="0"/>
                <w:szCs w:val="21"/>
              </w:rPr>
            </w:pPr>
            <w:r>
              <w:rPr>
                <w:rFonts w:hint="eastAsia" w:ascii="宋体" w:hAnsi="宋体" w:cs="宋体"/>
                <w:color w:val="000000"/>
                <w:kern w:val="0"/>
                <w:szCs w:val="21"/>
              </w:rPr>
              <w:t>环形混凝土电杆生产流程：</w:t>
            </w:r>
            <w:r>
              <w:rPr>
                <w:rFonts w:hint="eastAsia" w:ascii="宋体" w:hAnsi="宋体"/>
                <w:szCs w:val="21"/>
              </w:rPr>
              <w:t>配料→搅拌→装筋→浇灌→离心成型→养护→脱模→成品检验</w:t>
            </w:r>
            <w:r>
              <w:rPr>
                <w:rFonts w:hint="eastAsia" w:ascii="宋体" w:hAnsi="宋体" w:cs="宋体"/>
                <w:color w:val="000000"/>
                <w:kern w:val="0"/>
                <w:szCs w:val="21"/>
              </w:rPr>
              <w:t>；</w:t>
            </w:r>
          </w:p>
          <w:p>
            <w:pPr>
              <w:adjustRightInd w:val="0"/>
              <w:snapToGrid w:val="0"/>
              <w:spacing w:line="360" w:lineRule="auto"/>
            </w:pPr>
            <w:r>
              <w:rPr>
                <w:szCs w:val="21"/>
              </w:rPr>
              <w:t>钢筋混凝土排水管</w:t>
            </w:r>
            <w:r>
              <w:rPr>
                <w:rFonts w:hint="eastAsia" w:ascii="宋体" w:hAnsi="宋体" w:cs="宋体"/>
                <w:color w:val="000000"/>
                <w:kern w:val="0"/>
                <w:szCs w:val="21"/>
              </w:rPr>
              <w:t>生产流程：</w:t>
            </w:r>
            <w:r>
              <w:rPr>
                <w:rFonts w:hint="eastAsia" w:ascii="宋体" w:hAnsi="宋体"/>
                <w:szCs w:val="21"/>
              </w:rPr>
              <w:t>配料→搅拌→装筋→浇灌→悬滚成型→养护→脱模→成品检验</w:t>
            </w:r>
            <w:r>
              <w:rPr>
                <w:rFonts w:hint="eastAsia" w:ascii="宋体" w:hAnsi="宋体" w:cs="宋体"/>
                <w:color w:val="000000"/>
                <w:kern w:val="0"/>
                <w:szCs w:val="21"/>
              </w:rPr>
              <w:t>；</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2022年08月19日 上午至2022年08月19日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r>
              <w:rPr>
                <w:rFonts w:hint="eastAsia"/>
                <w:color w:val="FF0000"/>
                <w:lang w:val="en-US" w:eastAsia="zh-CN"/>
              </w:rPr>
              <w:t>+恢复</w:t>
            </w:r>
            <w:r>
              <w:rPr>
                <w:rFonts w:hint="eastAsia"/>
              </w:rPr>
              <w:sym w:font="Wingdings 2" w:char="00A3"/>
            </w:r>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甘肃省定西市陇西县云田镇北站村渭阳路口(执法局建筑垃圾填埋场)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8" w:name="审核范围"/>
            <w:r>
              <w:t>环形混凝土电杆、钢筋混凝土排水管的生产及销售</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16.02.01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2018</w:t>
            </w:r>
            <w:r>
              <w:rPr>
                <w:rFonts w:hint="eastAsia"/>
              </w:rPr>
              <w:t>年</w:t>
            </w:r>
            <w:r>
              <w:rPr>
                <w:rFonts w:hint="eastAsia"/>
                <w:lang w:val="en-US" w:eastAsia="zh-CN"/>
              </w:rPr>
              <w:t>1</w:t>
            </w:r>
            <w:r>
              <w:rPr>
                <w:rFonts w:hint="eastAsia"/>
              </w:rPr>
              <w:t>月</w:t>
            </w:r>
            <w:r>
              <w:rPr>
                <w:rFonts w:hint="eastAsia"/>
                <w:lang w:val="en-US" w:eastAsia="zh-CN"/>
              </w:rPr>
              <w:t>3</w:t>
            </w:r>
            <w:r>
              <w:rPr>
                <w:rFonts w:hint="eastAsia"/>
              </w:rPr>
              <w:t>日</w:t>
            </w:r>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ascii="宋体" w:hAnsi="宋体" w:cs="宋体"/>
                <w:color w:val="000000"/>
                <w:kern w:val="0"/>
                <w:szCs w:val="21"/>
                <w:u w:val="none"/>
              </w:rPr>
              <w:t>2021年07月04日至05日</w:t>
            </w:r>
            <w:r>
              <w:rPr>
                <w:rFonts w:ascii="宋体" w:hAnsi="宋体" w:cs="宋体"/>
                <w:color w:val="000000"/>
                <w:kern w:val="0"/>
                <w:szCs w:val="21"/>
                <w:u w:val="single"/>
              </w:rPr>
              <w:t xml:space="preserve"> </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w:t>
            </w:r>
            <w:r>
              <w:rPr>
                <w:rFonts w:hint="eastAsia" w:ascii="宋体" w:hAnsi="宋体" w:eastAsia="宋体" w:cs="宋体"/>
              </w:rPr>
              <w:t>至</w:t>
            </w:r>
            <w:r>
              <w:rPr>
                <w:rFonts w:hint="eastAsia" w:ascii="宋体" w:hAnsi="宋体" w:eastAsia="宋体" w:cs="宋体"/>
                <w:lang w:val="en-US" w:eastAsia="zh-CN"/>
              </w:rPr>
              <w:t>2024</w:t>
            </w:r>
            <w:r>
              <w:rPr>
                <w:rFonts w:hint="eastAsia" w:ascii="宋体" w:hAnsi="宋体" w:eastAsia="宋体" w:cs="宋体"/>
              </w:rPr>
              <w:t>年</w:t>
            </w:r>
            <w:r>
              <w:rPr>
                <w:rFonts w:hint="eastAsia" w:ascii="宋体" w:hAnsi="宋体" w:eastAsia="宋体" w:cs="宋体"/>
                <w:lang w:val="en-US" w:eastAsia="zh-CN"/>
              </w:rPr>
              <w:t>7</w:t>
            </w:r>
            <w:r>
              <w:rPr>
                <w:rFonts w:hint="eastAsia" w:ascii="宋体" w:hAnsi="宋体" w:eastAsia="宋体" w:cs="宋体"/>
              </w:rPr>
              <w:t>月</w:t>
            </w:r>
            <w:r>
              <w:rPr>
                <w:rFonts w:hint="eastAsia" w:ascii="宋体" w:hAnsi="宋体" w:eastAsia="宋体" w:cs="宋体"/>
                <w:lang w:val="en-US" w:eastAsia="zh-CN"/>
              </w:rPr>
              <w:t>21</w:t>
            </w:r>
            <w:r>
              <w:rPr>
                <w:rFonts w:hint="eastAsia" w:ascii="宋体" w:hAnsi="宋体" w:eastAsia="宋体" w:cs="宋体"/>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635"/>
        <w:gridCol w:w="183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635" w:type="dxa"/>
            <w:shd w:val="clear" w:color="auto" w:fill="F3F3F3"/>
            <w:tcMar>
              <w:left w:w="57" w:type="dxa"/>
              <w:right w:w="57" w:type="dxa"/>
            </w:tcMar>
          </w:tcPr>
          <w:p>
            <w:r>
              <w:rPr>
                <w:rFonts w:hint="eastAsia"/>
              </w:rPr>
              <w:t>审核范围（产品和过程）</w:t>
            </w:r>
          </w:p>
          <w:p/>
          <w:p/>
        </w:tc>
        <w:tc>
          <w:tcPr>
            <w:tcW w:w="1837"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陇西县钧盛水泥制造有限责任公司</w:t>
            </w:r>
          </w:p>
          <w:p>
            <w:pPr>
              <w:pStyle w:val="2"/>
              <w:rPr>
                <w:lang w:val="de-DE" w:eastAsia="ja-JP"/>
              </w:rPr>
            </w:pPr>
            <w:r>
              <w:t>甘肃省定西市陇西县云田镇北站村渭阳路口(执法局建筑垃圾填埋场)</w:t>
            </w:r>
          </w:p>
        </w:tc>
        <w:tc>
          <w:tcPr>
            <w:tcW w:w="2267" w:type="dxa"/>
          </w:tcPr>
          <w:p>
            <w:pPr>
              <w:rPr>
                <w:lang w:val="de-DE" w:eastAsia="ja-JP"/>
              </w:rPr>
            </w:pPr>
            <w:r>
              <w:t>甘肃省定西市陇西县云田镇北站村渭阳路口(执法局建筑垃圾填埋场)</w:t>
            </w:r>
          </w:p>
        </w:tc>
        <w:tc>
          <w:tcPr>
            <w:tcW w:w="571" w:type="dxa"/>
            <w:vAlign w:val="center"/>
          </w:tcPr>
          <w:p>
            <w:pPr>
              <w:rPr>
                <w:rFonts w:hint="default" w:eastAsia="宋体"/>
                <w:lang w:val="en-US" w:eastAsia="zh-CN"/>
              </w:rPr>
            </w:pPr>
            <w:r>
              <w:rPr>
                <w:rFonts w:hint="eastAsia"/>
                <w:lang w:val="en-US" w:eastAsia="zh-CN"/>
              </w:rPr>
              <w:t>45</w:t>
            </w:r>
          </w:p>
        </w:tc>
        <w:tc>
          <w:tcPr>
            <w:tcW w:w="1635" w:type="dxa"/>
            <w:vAlign w:val="center"/>
          </w:tcPr>
          <w:p>
            <w:pPr>
              <w:rPr>
                <w:rFonts w:ascii="Times New Roman" w:hAnsi="Times New Roman" w:eastAsia="宋体" w:cs="Times New Roman"/>
                <w:lang w:eastAsia="ja-JP"/>
              </w:rPr>
            </w:pPr>
            <w:r>
              <w:rPr>
                <w:rFonts w:ascii="Times New Roman" w:hAnsi="Times New Roman" w:eastAsia="宋体" w:cs="Times New Roman"/>
              </w:rPr>
              <w:t>环形混凝土电杆、钢筋混凝土排水管的生产及销售</w:t>
            </w:r>
          </w:p>
        </w:tc>
        <w:tc>
          <w:tcPr>
            <w:tcW w:w="1837" w:type="dxa"/>
            <w:vAlign w:val="center"/>
          </w:tcPr>
          <w:p>
            <w:pPr>
              <w:rPr>
                <w:rFonts w:hint="eastAsia" w:ascii="Times New Roman" w:hAnsi="Times New Roman" w:eastAsia="宋体" w:cs="Times New Roman"/>
              </w:rPr>
            </w:pPr>
            <w:r>
              <w:rPr>
                <w:rFonts w:hint="eastAsia" w:ascii="Times New Roman" w:hAnsi="Times New Roman" w:eastAsia="宋体" w:cs="Times New Roman"/>
              </w:rPr>
              <w:t>环形混凝土电杆</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GB4623-2014</w:t>
            </w:r>
          </w:p>
          <w:p>
            <w:pPr>
              <w:rPr>
                <w:rFonts w:hint="eastAsia" w:ascii="Times New Roman" w:hAnsi="Times New Roman" w:eastAsia="宋体" w:cs="Times New Roman"/>
              </w:rPr>
            </w:pPr>
            <w:r>
              <w:rPr>
                <w:rFonts w:hint="eastAsia" w:ascii="Times New Roman" w:hAnsi="Times New Roman" w:eastAsia="宋体" w:cs="Times New Roman"/>
              </w:rPr>
              <w:t>混凝土和钢筋混凝土排水管</w:t>
            </w:r>
            <w:r>
              <w:rPr>
                <w:rFonts w:hint="eastAsia" w:ascii="Times New Roman" w:hAnsi="Times New Roman" w:eastAsia="宋体" w:cs="Times New Roman"/>
              </w:rPr>
              <w:tab/>
            </w:r>
          </w:p>
          <w:p>
            <w:pPr>
              <w:rPr>
                <w:rFonts w:ascii="Times New Roman" w:hAnsi="Times New Roman" w:eastAsia="宋体" w:cs="Times New Roman"/>
                <w:lang w:eastAsia="ja-JP"/>
              </w:rPr>
            </w:pPr>
            <w:r>
              <w:rPr>
                <w:rFonts w:hint="eastAsia" w:ascii="Times New Roman" w:hAnsi="Times New Roman" w:eastAsia="宋体" w:cs="Times New Roman"/>
              </w:rPr>
              <w:t xml:space="preserve">GB/T11836-2009 </w:t>
            </w: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35" w:type="dxa"/>
            <w:vAlign w:val="center"/>
          </w:tcPr>
          <w:p>
            <w:pPr>
              <w:rPr>
                <w:lang w:eastAsia="ja-JP"/>
              </w:rPr>
            </w:pPr>
          </w:p>
        </w:tc>
        <w:tc>
          <w:tcPr>
            <w:tcW w:w="1837" w:type="dxa"/>
            <w:vAlign w:val="center"/>
          </w:tcPr>
          <w:p>
            <w:pPr>
              <w:rPr>
                <w:lang w:eastAsia="ja-JP"/>
              </w:rPr>
            </w:pPr>
          </w:p>
        </w:tc>
        <w:tc>
          <w:tcPr>
            <w:tcW w:w="668" w:type="dxa"/>
            <w:shd w:val="clear" w:color="auto" w:fill="FFFFFF"/>
          </w:tcPr>
          <w:p>
            <w:r>
              <w:rPr>
                <w:rFonts w:hint="eastAsia"/>
              </w:rPr>
              <w:t>☐</w:t>
            </w:r>
          </w:p>
        </w:tc>
      </w:tr>
    </w:tbl>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安涛</w:t>
            </w:r>
          </w:p>
        </w:tc>
        <w:tc>
          <w:tcPr>
            <w:tcW w:w="1089" w:type="dxa"/>
            <w:vAlign w:val="center"/>
          </w:tcPr>
          <w:p>
            <w:r>
              <w:t>组长</w:t>
            </w:r>
          </w:p>
        </w:tc>
        <w:tc>
          <w:tcPr>
            <w:tcW w:w="711" w:type="dxa"/>
            <w:vAlign w:val="center"/>
          </w:tcPr>
          <w:p>
            <w:r>
              <w:t>男</w:t>
            </w:r>
          </w:p>
        </w:tc>
        <w:tc>
          <w:tcPr>
            <w:tcW w:w="3870" w:type="dxa"/>
            <w:vAlign w:val="center"/>
          </w:tcPr>
          <w:p>
            <w:r>
              <w:t>2020-N1QMS-2211720</w:t>
            </w:r>
          </w:p>
        </w:tc>
        <w:tc>
          <w:tcPr>
            <w:tcW w:w="2179" w:type="dxa"/>
            <w:vAlign w:val="center"/>
          </w:tcPr>
          <w:p>
            <w: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default" w:eastAsia="宋体"/>
                <w:lang w:val="en-US" w:eastAsia="zh-CN"/>
              </w:rPr>
            </w:pPr>
            <w:r>
              <w:rPr>
                <w:rFonts w:hint="eastAsia"/>
                <w:lang w:val="en-US" w:eastAsia="zh-CN"/>
              </w:rPr>
              <w:t>组织名称变更为：</w:t>
            </w:r>
            <w:r>
              <w:t>陇西县钧盛水泥制造有限责任公司</w:t>
            </w:r>
          </w:p>
        </w:tc>
      </w:tr>
    </w:tbl>
    <w:p>
      <w:r>
        <w:rPr>
          <w:rFonts w:hint="eastAsia"/>
        </w:rPr>
        <w:t>在本次审核过程中，评审了现有管理体系和管理体系文件中这些变化的实施情况。</w:t>
      </w:r>
    </w:p>
    <w:p/>
    <w:p>
      <w:pPr>
        <w:pStyle w:val="2"/>
      </w:pPr>
    </w:p>
    <w:p>
      <w:pPr>
        <w:pStyle w:val="2"/>
      </w:pPr>
    </w:p>
    <w:p>
      <w:pPr>
        <w:pStyle w:val="2"/>
      </w:pPr>
    </w:p>
    <w:p>
      <w:pPr>
        <w:numPr>
          <w:ilvl w:val="0"/>
          <w:numId w:val="1"/>
        </w:numPr>
      </w:pPr>
      <w:r>
        <w:t>审核发现</w:t>
      </w:r>
      <w:r>
        <w:rPr>
          <w:rFonts w:hint="eastAsia"/>
        </w:rPr>
        <w:t>（见■QMS □EcMS□EMS□OHSMS）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rFonts w:hint="eastAsia" w:eastAsia="宋体"/>
                <w:highlight w:val="none"/>
                <w:lang w:val="en-US" w:eastAsia="zh-CN"/>
              </w:rPr>
            </w:pPr>
          </w:p>
        </w:tc>
        <w:tc>
          <w:tcPr>
            <w:tcW w:w="1717" w:type="dxa"/>
          </w:tcPr>
          <w:p>
            <w:pPr>
              <w:rPr>
                <w:highlight w:val="none"/>
              </w:rPr>
            </w:pPr>
          </w:p>
        </w:tc>
        <w:tc>
          <w:tcPr>
            <w:tcW w:w="1560" w:type="dxa"/>
          </w:tcPr>
          <w:p>
            <w:pPr>
              <w:rPr>
                <w:rFonts w:hint="eastAsia" w:eastAsia="宋体"/>
                <w:highlight w:val="none"/>
                <w:lang w:val="en-US" w:eastAsia="zh-CN"/>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pPr>
              <w:rPr>
                <w:rFonts w:hint="default" w:eastAsia="宋体"/>
                <w:lang w:val="en-US" w:eastAsia="zh-CN"/>
              </w:rPr>
            </w:pPr>
            <w:r>
              <w:rPr>
                <w:rFonts w:hint="eastAsia"/>
              </w:rPr>
              <w:t>审核组意见</w:t>
            </w:r>
            <w:r>
              <w:rPr>
                <w:rFonts w:hint="eastAsia"/>
                <w:lang w:eastAsia="zh-CN"/>
              </w:rPr>
              <w:t>：</w:t>
            </w:r>
            <w:r>
              <w:rPr>
                <w:rFonts w:hint="eastAsia" w:ascii="宋体" w:hAnsi="宋体"/>
                <w:b/>
                <w:szCs w:val="21"/>
              </w:rPr>
              <w:t>推荐保持</w:t>
            </w:r>
            <w:r>
              <w:rPr>
                <w:rFonts w:hint="eastAsia" w:ascii="宋体" w:hAnsi="宋体"/>
                <w:b/>
                <w:szCs w:val="21"/>
                <w:lang w:val="en-US" w:eastAsia="zh-CN"/>
              </w:rPr>
              <w:t>并恢复证书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pPr>
              <w:rPr>
                <w:highlight w:val="none"/>
              </w:rPr>
            </w:pPr>
            <w:r>
              <w:rPr>
                <w:rFonts w:hint="eastAsia"/>
                <w:highlight w:val="none"/>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30" w:type="dxa"/>
            <w:vMerge w:val="continue"/>
            <w:shd w:val="clear" w:color="auto" w:fill="auto"/>
          </w:tcPr>
          <w:p/>
        </w:tc>
        <w:tc>
          <w:tcPr>
            <w:tcW w:w="8350" w:type="dxa"/>
            <w:gridSpan w:val="2"/>
            <w:shd w:val="clear" w:color="auto" w:fill="auto"/>
          </w:tcPr>
          <w:p>
            <w:pPr>
              <w:rPr>
                <w:highlight w:val="none"/>
              </w:rPr>
            </w:pPr>
            <w:r>
              <w:rPr>
                <w:rFonts w:hint="eastAsia"/>
                <w:highlight w:val="none"/>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b/>
                <w:color w:val="000000" w:themeColor="text1"/>
                <w:sz w:val="26"/>
                <w:szCs w:val="26"/>
              </w:rPr>
              <w:drawing>
                <wp:anchor distT="0" distB="0" distL="114300" distR="114300" simplePos="0" relativeHeight="251662336" behindDoc="1" locked="0" layoutInCell="1" allowOverlap="1">
                  <wp:simplePos x="0" y="0"/>
                  <wp:positionH relativeFrom="column">
                    <wp:posOffset>602615</wp:posOffset>
                  </wp:positionH>
                  <wp:positionV relativeFrom="paragraph">
                    <wp:posOffset>-3175</wp:posOffset>
                  </wp:positionV>
                  <wp:extent cx="700405" cy="403860"/>
                  <wp:effectExtent l="0" t="0" r="635" b="7620"/>
                  <wp:wrapNone/>
                  <wp:docPr id="6" name="图片 6" descr="28fdd8fbb2bd137f321bf27109001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8fdd8fbb2bd137f321bf27109001bf"/>
                          <pic:cNvPicPr>
                            <a:picLocks noChangeAspect="1"/>
                          </pic:cNvPicPr>
                        </pic:nvPicPr>
                        <pic:blipFill>
                          <a:blip r:embed="rId6" cstate="print"/>
                          <a:stretch>
                            <a:fillRect/>
                          </a:stretch>
                        </pic:blipFill>
                        <pic:spPr>
                          <a:xfrm>
                            <a:off x="0" y="0"/>
                            <a:ext cx="700405" cy="403860"/>
                          </a:xfrm>
                          <a:prstGeom prst="rect">
                            <a:avLst/>
                          </a:prstGeom>
                        </pic:spPr>
                      </pic:pic>
                    </a:graphicData>
                  </a:graphic>
                </wp:anchor>
              </w:drawing>
            </w:r>
          </w:p>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2022.8.19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ascii="宋体" w:hAnsi="宋体" w:eastAsia="宋体" w:cs="Times New Roman"/>
                <w:bCs/>
                <w:szCs w:val="21"/>
              </w:rPr>
              <w:t>质量为先，信誉为重，管理为本，服务为诚</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rPr>
            </w:pPr>
            <w:r>
              <w:rPr>
                <w:rFonts w:hint="eastAsia"/>
              </w:rPr>
              <w:t>QMS的主管部门是——综合</w:t>
            </w:r>
            <w:r>
              <w:rPr>
                <w:rFonts w:hint="eastAsia"/>
                <w:lang w:val="en-US" w:eastAsia="zh-CN"/>
              </w:rPr>
              <w:t>办公室</w:t>
            </w:r>
          </w:p>
          <w:p>
            <w:pPr>
              <w:shd w:val="clear" w:color="auto" w:fill="C7DAF1" w:themeFill="text2" w:themeFillTint="3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6"/>
              <w:gridCol w:w="436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436" w:type="dxa"/>
                </w:tcPr>
                <w:p>
                  <w:pPr>
                    <w:shd w:val="clear" w:color="auto" w:fill="C7DAF1" w:themeFill="text2" w:themeFillTint="32"/>
                  </w:pPr>
                  <w:r>
                    <w:rPr>
                      <w:rFonts w:hint="eastAsia"/>
                    </w:rPr>
                    <w:t>主要的风险或机遇描述</w:t>
                  </w:r>
                </w:p>
              </w:tc>
              <w:tc>
                <w:tcPr>
                  <w:tcW w:w="4369"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shd w:val="clear" w:color="auto" w:fill="C7DAF1" w:themeFill="text2" w:themeFillTint="32"/>
                  </w:pPr>
                  <w:r>
                    <w:rPr>
                      <w:rFonts w:hint="eastAsia" w:ascii="宋体" w:hAnsi="宋体" w:cs="宋体"/>
                      <w:color w:val="000000"/>
                      <w:kern w:val="0"/>
                      <w:sz w:val="20"/>
                      <w:szCs w:val="20"/>
                    </w:rPr>
                    <w:t>订单评审过程</w:t>
                  </w:r>
                </w:p>
              </w:tc>
              <w:tc>
                <w:tcPr>
                  <w:tcW w:w="4369" w:type="dxa"/>
                </w:tcPr>
                <w:p>
                  <w:pPr>
                    <w:shd w:val="clear" w:color="auto" w:fill="C7DAF1" w:themeFill="text2" w:themeFillTint="32"/>
                  </w:pPr>
                  <w:r>
                    <w:rPr>
                      <w:rFonts w:hint="eastAsia" w:ascii="宋体" w:hAnsi="宋体" w:cs="宋体"/>
                      <w:color w:val="000000"/>
                      <w:kern w:val="0"/>
                      <w:sz w:val="20"/>
                      <w:szCs w:val="20"/>
                    </w:rPr>
                    <w:t>1、对客户的要求销售部组织相关部门进行识别；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2、在确定与客户签署合同前落实合同评审事宜。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相关文件：《与顾客有关的过程控制程序》</w:t>
                  </w:r>
                </w:p>
              </w:tc>
              <w:tc>
                <w:tcPr>
                  <w:tcW w:w="1717"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shd w:val="clear" w:color="auto" w:fill="C7DAF1" w:themeFill="text2" w:themeFillTint="32"/>
                  </w:pPr>
                  <w:r>
                    <w:rPr>
                      <w:rFonts w:hint="eastAsia" w:ascii="宋体" w:hAnsi="宋体" w:cs="宋体"/>
                      <w:color w:val="000000"/>
                      <w:kern w:val="0"/>
                      <w:sz w:val="20"/>
                      <w:szCs w:val="20"/>
                    </w:rPr>
                    <w:t>生产过程</w:t>
                  </w:r>
                </w:p>
              </w:tc>
              <w:tc>
                <w:tcPr>
                  <w:tcW w:w="4369" w:type="dxa"/>
                </w:tcPr>
                <w:p>
                  <w:pPr>
                    <w:shd w:val="clear" w:color="auto" w:fill="C7DAF1" w:themeFill="text2" w:themeFillTint="32"/>
                  </w:pPr>
                  <w:r>
                    <w:rPr>
                      <w:rFonts w:hint="eastAsia" w:ascii="宋体" w:hAnsi="宋体" w:cs="宋体"/>
                      <w:color w:val="000000"/>
                      <w:kern w:val="0"/>
                      <w:sz w:val="20"/>
                      <w:szCs w:val="20"/>
                    </w:rPr>
                    <w:t>1、合理安排生产计划；销售人员每日</w:t>
                  </w:r>
                  <w:r>
                    <w:rPr>
                      <w:rFonts w:hint="eastAsia" w:ascii="宋体" w:hAnsi="宋体" w:cs="宋体"/>
                      <w:color w:val="000000"/>
                      <w:kern w:val="0"/>
                      <w:sz w:val="20"/>
                      <w:szCs w:val="20"/>
                      <w:lang w:val="en-US" w:eastAsia="zh-CN"/>
                    </w:rPr>
                    <w:t>全程</w:t>
                  </w:r>
                  <w:r>
                    <w:rPr>
                      <w:rFonts w:hint="eastAsia" w:ascii="宋体" w:hAnsi="宋体" w:cs="宋体"/>
                      <w:color w:val="000000"/>
                      <w:kern w:val="0"/>
                      <w:sz w:val="20"/>
                      <w:szCs w:val="20"/>
                    </w:rPr>
                    <w:t>跟踪生产计划的进度；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2、制定安全库存；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3、不良率指标监控，及时采用纠正预防措施；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4、产品执行批次和标识管理；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相关文件：《生产和服务提供控制程序》；《不合格品控制程序》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shd w:val="clear" w:color="auto" w:fill="C7DAF1" w:themeFill="text2" w:themeFillTint="32"/>
                  </w:pPr>
                  <w:r>
                    <w:rPr>
                      <w:rFonts w:hint="eastAsia" w:ascii="宋体" w:hAnsi="宋体" w:cs="宋体"/>
                      <w:color w:val="000000"/>
                      <w:kern w:val="0"/>
                      <w:sz w:val="20"/>
                      <w:szCs w:val="20"/>
                    </w:rPr>
                    <w:t>交付和顾客反馈过程</w:t>
                  </w:r>
                </w:p>
              </w:tc>
              <w:tc>
                <w:tcPr>
                  <w:tcW w:w="4369" w:type="dxa"/>
                </w:tcPr>
                <w:p>
                  <w:pPr>
                    <w:shd w:val="clear" w:color="auto" w:fill="C7DAF1" w:themeFill="text2" w:themeFillTint="32"/>
                  </w:pPr>
                  <w:r>
                    <w:rPr>
                      <w:rFonts w:hint="eastAsia" w:ascii="宋体" w:hAnsi="宋体" w:cs="宋体"/>
                      <w:color w:val="000000"/>
                      <w:kern w:val="0"/>
                      <w:sz w:val="20"/>
                      <w:szCs w:val="20"/>
                    </w:rPr>
                    <w:t>1、安全库存；生产计划每日统计达成；产品，成品出货检验；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2、客户投诉台账</w:t>
                  </w:r>
                  <w:r>
                    <w:rPr>
                      <w:rFonts w:hint="eastAsia" w:ascii="宋体" w:hAnsi="宋体" w:eastAsia="宋体" w:cs="宋体"/>
                      <w:color w:val="000000"/>
                      <w:kern w:val="0"/>
                      <w:sz w:val="20"/>
                      <w:szCs w:val="20"/>
                    </w:rPr>
                    <w:t>，</w:t>
                  </w:r>
                  <w:r>
                    <w:rPr>
                      <w:rFonts w:hint="eastAsia" w:ascii="宋体" w:hAnsi="宋体" w:eastAsia="宋体" w:cs="宋体"/>
                      <w:color w:val="000000"/>
                      <w:kern w:val="0"/>
                      <w:sz w:val="20"/>
                      <w:szCs w:val="20"/>
                      <w:lang w:val="en-US" w:eastAsia="zh-CN"/>
                    </w:rPr>
                    <w:t>综合办公室</w:t>
                  </w:r>
                  <w:r>
                    <w:rPr>
                      <w:rFonts w:hint="eastAsia" w:ascii="宋体" w:hAnsi="宋体" w:eastAsia="宋体" w:cs="宋体"/>
                      <w:color w:val="000000"/>
                      <w:kern w:val="0"/>
                      <w:sz w:val="20"/>
                      <w:szCs w:val="20"/>
                    </w:rPr>
                    <w:t>专人负</w:t>
                  </w:r>
                  <w:r>
                    <w:rPr>
                      <w:rFonts w:hint="eastAsia" w:ascii="宋体" w:hAnsi="宋体" w:cs="宋体"/>
                      <w:color w:val="000000"/>
                      <w:kern w:val="0"/>
                      <w:sz w:val="20"/>
                      <w:szCs w:val="20"/>
                    </w:rPr>
                    <w:t>责处理并及时回复客户，保存相应证据；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3、顾客满意度设立监控指标，每年至少调查分析一次；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相关文件：《顾客满意程度测量控制程序》、《纠正措施控制程序》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shd w:val="clear" w:color="auto" w:fill="C7DAF1" w:themeFill="text2" w:themeFillTint="32"/>
                  </w:pPr>
                  <w:r>
                    <w:rPr>
                      <w:rFonts w:hint="eastAsia" w:ascii="宋体" w:hAnsi="宋体" w:cs="宋体"/>
                      <w:color w:val="000000"/>
                      <w:kern w:val="0"/>
                      <w:sz w:val="20"/>
                      <w:szCs w:val="20"/>
                    </w:rPr>
                    <w:t>管理评审过程</w:t>
                  </w:r>
                </w:p>
              </w:tc>
              <w:tc>
                <w:tcPr>
                  <w:tcW w:w="4369" w:type="dxa"/>
                </w:tcPr>
                <w:p>
                  <w:pPr>
                    <w:shd w:val="clear" w:color="auto" w:fill="C7DAF1" w:themeFill="text2" w:themeFillTint="32"/>
                  </w:pPr>
                  <w:r>
                    <w:rPr>
                      <w:rFonts w:hint="eastAsia" w:ascii="宋体" w:hAnsi="宋体" w:cs="宋体"/>
                      <w:color w:val="000000"/>
                      <w:kern w:val="0"/>
                      <w:sz w:val="20"/>
                      <w:szCs w:val="20"/>
                    </w:rPr>
                    <w:t>1、管理评审计划的输入项要分配到相应的责任部门，总经理批准进行确认；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2、管理评审输出改进项，下一次管理当作输入项，总经理进行评审确认。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相关文件：《管理评审控制程序》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shd w:val="clear" w:color="auto" w:fill="C7DAF1" w:themeFill="text2" w:themeFillTint="32"/>
                  </w:pPr>
                  <w:r>
                    <w:rPr>
                      <w:rFonts w:hint="eastAsia" w:ascii="宋体" w:hAnsi="宋体" w:cs="宋体"/>
                      <w:color w:val="000000"/>
                      <w:kern w:val="0"/>
                      <w:sz w:val="20"/>
                      <w:szCs w:val="20"/>
                    </w:rPr>
                    <w:t>采购过程</w:t>
                  </w:r>
                </w:p>
              </w:tc>
              <w:tc>
                <w:tcPr>
                  <w:tcW w:w="4369" w:type="dxa"/>
                </w:tcPr>
                <w:p>
                  <w:pPr>
                    <w:shd w:val="clear" w:color="auto" w:fill="C7DAF1" w:themeFill="text2" w:themeFillTint="32"/>
                  </w:pPr>
                  <w:r>
                    <w:rPr>
                      <w:rFonts w:hint="eastAsia" w:ascii="宋体" w:hAnsi="宋体" w:cs="宋体"/>
                      <w:color w:val="000000"/>
                      <w:kern w:val="0"/>
                      <w:sz w:val="20"/>
                      <w:szCs w:val="20"/>
                    </w:rPr>
                    <w:t>1、开发建立备用供方以及供方淘汰制度；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2、供应商业绩定期评价，对供方进行考核和扣款等；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3、建立原辅材料安全库存；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相关文件：《采购控制程序》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shd w:val="clear" w:color="auto" w:fill="C7DAF1" w:themeFill="text2" w:themeFillTint="32"/>
                  </w:pPr>
                  <w:r>
                    <w:rPr>
                      <w:rFonts w:hint="eastAsia" w:ascii="宋体" w:hAnsi="宋体" w:cs="宋体"/>
                      <w:color w:val="000000"/>
                      <w:kern w:val="0"/>
                      <w:sz w:val="20"/>
                      <w:szCs w:val="20"/>
                    </w:rPr>
                    <w:t>检验过程</w:t>
                  </w:r>
                </w:p>
              </w:tc>
              <w:tc>
                <w:tcPr>
                  <w:tcW w:w="4369" w:type="dxa"/>
                </w:tcPr>
                <w:p>
                  <w:pPr>
                    <w:shd w:val="clear" w:color="auto" w:fill="C7DAF1" w:themeFill="text2" w:themeFillTint="32"/>
                  </w:pPr>
                  <w:r>
                    <w:rPr>
                      <w:rFonts w:hint="eastAsia" w:ascii="宋体" w:hAnsi="宋体" w:cs="宋体"/>
                      <w:color w:val="000000"/>
                      <w:kern w:val="0"/>
                      <w:sz w:val="20"/>
                      <w:szCs w:val="20"/>
                    </w:rPr>
                    <w:t>1、进货检验指导书，规定抽样方案和接收、判退规定；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2、工艺文件规定</w:t>
                  </w:r>
                  <w:r>
                    <w:rPr>
                      <w:rFonts w:hint="eastAsia" w:ascii="宋体" w:hAnsi="宋体" w:cs="宋体"/>
                      <w:color w:val="000000"/>
                      <w:kern w:val="0"/>
                      <w:sz w:val="20"/>
                      <w:szCs w:val="20"/>
                      <w:lang w:val="en-US" w:eastAsia="zh-CN"/>
                    </w:rPr>
                    <w:t>抽样点、时间</w:t>
                  </w:r>
                  <w:r>
                    <w:rPr>
                      <w:rFonts w:hint="eastAsia" w:ascii="宋体" w:hAnsi="宋体" w:cs="宋体"/>
                      <w:color w:val="000000"/>
                      <w:kern w:val="0"/>
                      <w:sz w:val="20"/>
                      <w:szCs w:val="20"/>
                    </w:rPr>
                    <w:t>检验制度</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3、成品检验指导书，规定抽样方案和接收、判退规定；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相关文件：《产品的监视和测量控制程序》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shd w:val="clear" w:color="auto" w:fill="C7DAF1" w:themeFill="text2" w:themeFillTint="32"/>
                  </w:pPr>
                  <w:r>
                    <w:rPr>
                      <w:rFonts w:hint="eastAsia" w:ascii="宋体" w:hAnsi="宋体" w:cs="宋体"/>
                      <w:color w:val="000000"/>
                      <w:kern w:val="0"/>
                      <w:sz w:val="20"/>
                      <w:szCs w:val="20"/>
                    </w:rPr>
                    <w:t>设备管理过程</w:t>
                  </w:r>
                </w:p>
              </w:tc>
              <w:tc>
                <w:tcPr>
                  <w:tcW w:w="4369" w:type="dxa"/>
                </w:tcPr>
                <w:p>
                  <w:pPr>
                    <w:shd w:val="clear" w:color="auto" w:fill="C7DAF1" w:themeFill="text2" w:themeFillTint="32"/>
                  </w:pPr>
                  <w:r>
                    <w:rPr>
                      <w:rFonts w:hint="eastAsia" w:ascii="宋体" w:hAnsi="宋体" w:cs="宋体"/>
                      <w:color w:val="000000"/>
                      <w:kern w:val="0"/>
                      <w:sz w:val="20"/>
                      <w:szCs w:val="20"/>
                    </w:rPr>
                    <w:t>1、设备建立日常保养制度、定期保养计划；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2、设备产能分析；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3、设备建立易损件备品备件清单；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相关文件：《设施和工作环境控制程序》</w:t>
                  </w:r>
                </w:p>
              </w:tc>
              <w:tc>
                <w:tcPr>
                  <w:tcW w:w="1717"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6" w:type="dxa"/>
                </w:tcPr>
                <w:p>
                  <w:pPr>
                    <w:shd w:val="clear" w:color="auto" w:fill="C7DAF1" w:themeFill="text2" w:themeFillTint="32"/>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市场需求增大带来机遇</w:t>
                  </w:r>
                </w:p>
              </w:tc>
              <w:tc>
                <w:tcPr>
                  <w:tcW w:w="4369" w:type="dxa"/>
                </w:tcPr>
                <w:p>
                  <w:pPr>
                    <w:shd w:val="clear" w:color="auto" w:fill="C7DAF1" w:themeFill="text2" w:themeFillTint="32"/>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保证生产能力、提高业务人员水平</w:t>
                  </w:r>
                </w:p>
              </w:tc>
              <w:tc>
                <w:tcPr>
                  <w:tcW w:w="1717" w:type="dxa"/>
                </w:tcPr>
                <w:p>
                  <w:pPr>
                    <w:shd w:val="clear" w:color="auto" w:fill="C7DAF1" w:themeFill="text2" w:themeFillTint="32"/>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有效</w:t>
                  </w:r>
                </w:p>
              </w:tc>
            </w:tr>
          </w:tbl>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rPr>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成品一次交检合格率≥95%</w:t>
                  </w:r>
                </w:p>
              </w:tc>
              <w:tc>
                <w:tcPr>
                  <w:tcW w:w="3136" w:type="dxa"/>
                  <w:shd w:val="clear" w:color="auto" w:fill="auto"/>
                  <w:vAlign w:val="center"/>
                </w:tcPr>
                <w:p>
                  <w:pPr>
                    <w:shd w:val="clear" w:color="auto" w:fill="C7DAF1" w:themeFill="text2" w:themeFillTint="32"/>
                    <w:rPr>
                      <w:rFonts w:hint="eastAsia" w:ascii="宋体" w:hAnsi="宋体" w:eastAsia="宋体" w:cs="宋体"/>
                      <w:color w:val="000000"/>
                      <w:kern w:val="0"/>
                      <w:sz w:val="20"/>
                      <w:szCs w:val="20"/>
                      <w:lang w:val="en-GB"/>
                    </w:rPr>
                  </w:pPr>
                  <w:r>
                    <w:rPr>
                      <w:rFonts w:hint="eastAsia" w:ascii="宋体" w:hAnsi="宋体" w:eastAsia="宋体" w:cs="宋体"/>
                      <w:color w:val="000000"/>
                      <w:kern w:val="0"/>
                      <w:sz w:val="20"/>
                      <w:szCs w:val="20"/>
                    </w:rPr>
                    <w:t>成品一次交检合格率=（成品一次交检合格批数/交检总批数）×100%</w:t>
                  </w:r>
                </w:p>
              </w:tc>
              <w:tc>
                <w:tcPr>
                  <w:tcW w:w="1350" w:type="dxa"/>
                  <w:shd w:val="clear" w:color="auto" w:fill="auto"/>
                  <w:vAlign w:val="center"/>
                </w:tcPr>
                <w:p>
                  <w:pPr>
                    <w:shd w:val="clear" w:color="auto" w:fill="C7DAF1" w:themeFill="text2" w:themeFillTint="32"/>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生产技术部</w:t>
                  </w:r>
                </w:p>
              </w:tc>
              <w:tc>
                <w:tcPr>
                  <w:tcW w:w="1774" w:type="dxa"/>
                  <w:shd w:val="clear" w:color="auto" w:fill="auto"/>
                  <w:vAlign w:val="center"/>
                </w:tcPr>
                <w:p>
                  <w:pPr>
                    <w:shd w:val="clear" w:color="auto" w:fill="C7DAF1" w:themeFill="text2" w:themeFillTint="32"/>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产品</w:t>
                  </w:r>
                  <w:r>
                    <w:rPr>
                      <w:rFonts w:hint="eastAsia" w:ascii="宋体" w:hAnsi="宋体" w:eastAsia="宋体" w:cs="宋体"/>
                      <w:color w:val="000000"/>
                      <w:kern w:val="0"/>
                      <w:sz w:val="20"/>
                      <w:szCs w:val="20"/>
                    </w:rPr>
                    <w:t>准时交货率</w:t>
                  </w:r>
                </w:p>
                <w:p>
                  <w:pPr>
                    <w:shd w:val="clear" w:color="auto" w:fill="C7DAF1" w:themeFill="text2" w:themeFillTint="32"/>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3136" w:type="dxa"/>
                  <w:shd w:val="clear" w:color="auto" w:fill="auto"/>
                  <w:vAlign w:val="center"/>
                </w:tcPr>
                <w:p>
                  <w:pPr>
                    <w:shd w:val="clear" w:color="auto" w:fill="C7DAF1" w:themeFill="text2" w:themeFillTint="32"/>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准时交货率=（准时交货批数/交货总批数）×100%</w:t>
                  </w:r>
                </w:p>
              </w:tc>
              <w:tc>
                <w:tcPr>
                  <w:tcW w:w="1350" w:type="dxa"/>
                  <w:shd w:val="clear" w:color="auto" w:fill="auto"/>
                  <w:vAlign w:val="center"/>
                </w:tcPr>
                <w:p>
                  <w:pPr>
                    <w:shd w:val="clear" w:color="auto" w:fill="C7DAF1" w:themeFill="text2" w:themeFillTint="32"/>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经营部</w:t>
                  </w:r>
                </w:p>
              </w:tc>
              <w:tc>
                <w:tcPr>
                  <w:tcW w:w="1774" w:type="dxa"/>
                  <w:shd w:val="clear" w:color="auto" w:fill="auto"/>
                  <w:vAlign w:val="center"/>
                </w:tcPr>
                <w:p>
                  <w:pPr>
                    <w:shd w:val="clear" w:color="auto" w:fill="C7DAF1" w:themeFill="text2" w:themeFillTint="32"/>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顾客投诉次数≤5次/年</w:t>
                  </w:r>
                </w:p>
              </w:tc>
              <w:tc>
                <w:tcPr>
                  <w:tcW w:w="3136" w:type="dxa"/>
                  <w:shd w:val="clear" w:color="auto" w:fill="auto"/>
                  <w:vAlign w:val="center"/>
                </w:tcPr>
                <w:p>
                  <w:pPr>
                    <w:shd w:val="clear" w:color="auto" w:fill="C7DAF1" w:themeFill="text2" w:themeFillTint="32"/>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综合办公室统计</w:t>
                  </w:r>
                </w:p>
              </w:tc>
              <w:tc>
                <w:tcPr>
                  <w:tcW w:w="1350" w:type="dxa"/>
                  <w:shd w:val="clear" w:color="auto" w:fill="auto"/>
                  <w:vAlign w:val="center"/>
                </w:tcPr>
                <w:p>
                  <w:pPr>
                    <w:shd w:val="clear" w:color="auto" w:fill="C7DAF1" w:themeFill="text2" w:themeFillTint="32"/>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综合办公室</w:t>
                  </w:r>
                </w:p>
              </w:tc>
              <w:tc>
                <w:tcPr>
                  <w:tcW w:w="1774" w:type="dxa"/>
                  <w:shd w:val="clear" w:color="auto" w:fill="auto"/>
                  <w:vAlign w:val="center"/>
                </w:tcPr>
                <w:p>
                  <w:pPr>
                    <w:shd w:val="clear" w:color="auto" w:fill="C7DAF1" w:themeFill="text2" w:themeFillTint="32"/>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顾客满意度≥</w:t>
                  </w:r>
                  <w:r>
                    <w:rPr>
                      <w:rFonts w:hint="eastAsia" w:ascii="宋体" w:hAnsi="宋体" w:eastAsia="宋体" w:cs="宋体"/>
                      <w:color w:val="000000"/>
                      <w:kern w:val="0"/>
                      <w:sz w:val="20"/>
                      <w:szCs w:val="20"/>
                      <w:lang w:val="en-US" w:eastAsia="zh-CN"/>
                    </w:rPr>
                    <w:t>8</w:t>
                  </w:r>
                  <w:r>
                    <w:rPr>
                      <w:rFonts w:hint="eastAsia" w:ascii="宋体" w:hAnsi="宋体" w:eastAsia="宋体" w:cs="宋体"/>
                      <w:color w:val="000000"/>
                      <w:kern w:val="0"/>
                      <w:sz w:val="20"/>
                      <w:szCs w:val="20"/>
                    </w:rPr>
                    <w:t>5%</w:t>
                  </w:r>
                </w:p>
              </w:tc>
              <w:tc>
                <w:tcPr>
                  <w:tcW w:w="3136" w:type="dxa"/>
                  <w:shd w:val="clear" w:color="auto" w:fill="auto"/>
                  <w:vAlign w:val="center"/>
                </w:tcPr>
                <w:p>
                  <w:pPr>
                    <w:shd w:val="clear" w:color="auto" w:fill="C7DAF1" w:themeFill="text2" w:themeFillTint="32"/>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经营部</w:t>
                  </w:r>
                  <w:r>
                    <w:rPr>
                      <w:rFonts w:hint="eastAsia" w:ascii="宋体" w:hAnsi="宋体" w:eastAsia="宋体" w:cs="宋体"/>
                      <w:color w:val="000000"/>
                      <w:kern w:val="0"/>
                      <w:sz w:val="20"/>
                      <w:szCs w:val="20"/>
                    </w:rPr>
                    <w:t>统计分析报告</w:t>
                  </w:r>
                </w:p>
              </w:tc>
              <w:tc>
                <w:tcPr>
                  <w:tcW w:w="1350" w:type="dxa"/>
                  <w:shd w:val="clear" w:color="auto" w:fill="auto"/>
                  <w:vAlign w:val="center"/>
                </w:tcPr>
                <w:p>
                  <w:pPr>
                    <w:shd w:val="clear" w:color="auto" w:fill="C7DAF1" w:themeFill="text2" w:themeFillTint="32"/>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经营部</w:t>
                  </w:r>
                </w:p>
              </w:tc>
              <w:tc>
                <w:tcPr>
                  <w:tcW w:w="1774" w:type="dxa"/>
                  <w:shd w:val="clear" w:color="auto" w:fill="auto"/>
                  <w:vAlign w:val="center"/>
                </w:tcPr>
                <w:p>
                  <w:pPr>
                    <w:shd w:val="clear" w:color="auto" w:fill="C7DAF1" w:themeFill="text2" w:themeFillTint="32"/>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宋体"/>
                      <w:color w:val="000000"/>
                      <w:kern w:val="0"/>
                      <w:sz w:val="20"/>
                      <w:szCs w:val="20"/>
                    </w:rPr>
                  </w:pPr>
                </w:p>
              </w:tc>
              <w:tc>
                <w:tcPr>
                  <w:tcW w:w="3136" w:type="dxa"/>
                  <w:shd w:val="clear" w:color="auto" w:fill="auto"/>
                  <w:vAlign w:val="center"/>
                </w:tcPr>
                <w:p>
                  <w:pPr>
                    <w:shd w:val="clear" w:color="auto" w:fill="C7DAF1" w:themeFill="text2" w:themeFillTint="32"/>
                    <w:rPr>
                      <w:rFonts w:hint="eastAsia" w:ascii="宋体" w:hAnsi="宋体" w:eastAsia="宋体" w:cs="宋体"/>
                      <w:color w:val="000000"/>
                      <w:kern w:val="0"/>
                      <w:sz w:val="20"/>
                      <w:szCs w:val="20"/>
                    </w:rPr>
                  </w:pPr>
                </w:p>
              </w:tc>
              <w:tc>
                <w:tcPr>
                  <w:tcW w:w="1350" w:type="dxa"/>
                  <w:shd w:val="clear" w:color="auto" w:fill="auto"/>
                  <w:vAlign w:val="center"/>
                </w:tcPr>
                <w:p>
                  <w:pPr>
                    <w:shd w:val="clear" w:color="auto" w:fill="C7DAF1" w:themeFill="text2" w:themeFillTint="32"/>
                    <w:rPr>
                      <w:rFonts w:hint="eastAsia" w:ascii="宋体" w:hAnsi="宋体" w:eastAsia="宋体" w:cs="宋体"/>
                      <w:color w:val="000000"/>
                      <w:kern w:val="0"/>
                      <w:sz w:val="20"/>
                      <w:szCs w:val="20"/>
                    </w:rPr>
                  </w:pPr>
                </w:p>
              </w:tc>
              <w:tc>
                <w:tcPr>
                  <w:tcW w:w="1774" w:type="dxa"/>
                  <w:shd w:val="clear" w:color="auto" w:fill="auto"/>
                  <w:vAlign w:val="center"/>
                </w:tcPr>
                <w:p>
                  <w:pPr>
                    <w:shd w:val="clear" w:color="auto" w:fill="C7DAF1" w:themeFill="text2" w:themeFillTint="32"/>
                    <w:rPr>
                      <w:rFonts w:hint="eastAsia" w:ascii="宋体" w:hAnsi="宋体" w:eastAsia="宋体" w:cs="宋体"/>
                      <w:color w:val="000000"/>
                      <w:kern w:val="0"/>
                      <w:sz w:val="20"/>
                      <w:szCs w:val="20"/>
                    </w:rPr>
                  </w:pPr>
                </w:p>
              </w:tc>
            </w:tr>
          </w:tbl>
          <w:p>
            <w:pPr>
              <w:shd w:val="clear" w:color="auto" w:fill="C7DAF1" w:themeFill="text2" w:themeFillTint="32"/>
            </w:pP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ascii="宋体" w:hAnsi="宋体" w:eastAsia="宋体" w:cs="宋体"/>
                <w:sz w:val="24"/>
                <w:szCs w:val="24"/>
              </w:rPr>
              <w:t>20000平方米</w:t>
            </w:r>
            <w:r>
              <w:rPr>
                <w:rFonts w:hint="eastAsia"/>
              </w:rPr>
              <w:t>；生产车间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szCs w:val="21"/>
              </w:rPr>
              <w:t>离心机、自动搅拌机、电焊机、滚焊机、钢筋</w:t>
            </w:r>
            <w:r>
              <w:rPr>
                <w:rFonts w:hint="eastAsia" w:ascii="宋体" w:hAnsi="宋体"/>
                <w:szCs w:val="21"/>
                <w:lang w:val="en-US" w:eastAsia="zh-CN"/>
              </w:rPr>
              <w:t>切割机</w:t>
            </w:r>
            <w:r>
              <w:rPr>
                <w:rFonts w:hint="eastAsia" w:ascii="宋体" w:hAnsi="宋体"/>
                <w:szCs w:val="21"/>
              </w:rPr>
              <w:t>、打圈机</w:t>
            </w:r>
          </w:p>
          <w:p>
            <w:pPr>
              <w:shd w:val="clear" w:color="auto" w:fill="C7DAF1" w:themeFill="text2" w:themeFillTint="32"/>
            </w:pPr>
            <w:r>
              <w:rPr>
                <w:rFonts w:hint="eastAsia"/>
              </w:rPr>
              <w:t>特种设备：</w:t>
            </w:r>
            <w:r>
              <w:rPr>
                <w:rFonts w:hint="eastAsia" w:ascii="Wingdings" w:hAnsi="Wingdings"/>
              </w:rPr>
              <w:t>¨</w:t>
            </w:r>
            <w:r>
              <w:rPr>
                <w:rFonts w:hint="eastAsia"/>
              </w:rPr>
              <w:t>叉车■行车■锅炉</w:t>
            </w:r>
            <w:r>
              <w:rPr>
                <w:rFonts w:hint="eastAsia" w:ascii="Wingdings" w:hAnsi="Wingdings"/>
              </w:rPr>
              <w:t>¨</w:t>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48"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自校■外校</w:t>
            </w:r>
          </w:p>
          <w:p>
            <w:pPr>
              <w:shd w:val="clear" w:color="auto" w:fill="C7DAF1" w:themeFill="text2" w:themeFillTint="32"/>
              <w:rPr>
                <w:u w:val="single"/>
              </w:rPr>
            </w:pPr>
            <w:r>
              <w:rPr>
                <w:rFonts w:hint="eastAsia"/>
              </w:rPr>
              <w:t>国家强检的计量器具有：</w:t>
            </w:r>
            <w:r>
              <w:rPr>
                <w:rFonts w:hint="eastAsia" w:ascii="宋体" w:hAnsi="宋体"/>
                <w:szCs w:val="21"/>
                <w:highlight w:val="none"/>
              </w:rPr>
              <w:t>电子台秤、电热鼓风干燥箱、沸煮箱</w:t>
            </w:r>
          </w:p>
          <w:p>
            <w:pPr>
              <w:shd w:val="clear" w:color="auto" w:fill="C7DAF1" w:themeFill="text2" w:themeFillTint="32"/>
              <w:rPr>
                <w:u w:val="single"/>
              </w:rPr>
            </w:pPr>
            <w:r>
              <w:rPr>
                <w:rFonts w:hint="eastAsia"/>
              </w:rPr>
              <w:t>计量器具管理：■进行了定期校准/检定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w:t>
            </w:r>
            <w:bookmarkStart w:id="33" w:name="_GoBack"/>
            <w:bookmarkEnd w:id="33"/>
            <w:r>
              <w:rPr>
                <w:rFonts w:hint="eastAsia"/>
              </w:rPr>
              <w:t>的管理。</w:t>
            </w:r>
          </w:p>
          <w:p>
            <w:pPr>
              <w:shd w:val="clear" w:color="auto" w:fill="C7DAF1" w:themeFill="text2" w:themeFillTint="32"/>
            </w:pPr>
            <w:r>
              <w:rPr>
                <w:rFonts w:hint="eastAsia"/>
              </w:rPr>
              <w:t xml:space="preserve">特种作业人员：■电工 </w:t>
            </w:r>
            <w:r>
              <w:rPr>
                <w:rFonts w:hint="eastAsia" w:ascii="Wingdings" w:hAnsi="Wingdings"/>
              </w:rPr>
              <w:t>¨</w:t>
            </w:r>
            <w:r>
              <w:rPr>
                <w:rFonts w:hint="eastAsia"/>
              </w:rPr>
              <w:t xml:space="preserve">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rPr>
              <w:t>¨</w:t>
            </w:r>
            <w:r>
              <w:rPr>
                <w:rFonts w:hint="eastAsia"/>
              </w:rPr>
              <w:t xml:space="preserve">叉车工 ■行车工 ■锅炉工  </w:t>
            </w:r>
            <w:r>
              <w:rPr>
                <w:rFonts w:hint="eastAsia" w:ascii="Wingdings" w:hAnsi="Wingdings"/>
              </w:rPr>
              <w:t>¨</w:t>
            </w:r>
            <w:r>
              <w:rPr>
                <w:rFonts w:hint="eastAsia"/>
              </w:rPr>
              <w:t xml:space="preserve">压力容器   </w:t>
            </w:r>
            <w:r>
              <w:rPr>
                <w:rFonts w:hint="eastAsia" w:ascii="Wingdings" w:hAnsi="Wingdings"/>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网站  ■标语  ■展板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■工艺流程图 ■作业文件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344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hd w:val="clear" w:color="auto" w:fill="C7DAF1" w:themeFill="text2" w:themeFillTint="32"/>
                    <w:jc w:val="left"/>
                  </w:pPr>
                  <w:r>
                    <w:rPr>
                      <w:rFonts w:hint="eastAsia"/>
                    </w:rPr>
                    <w:t>产品/服务名称</w:t>
                  </w:r>
                </w:p>
              </w:tc>
              <w:tc>
                <w:tcPr>
                  <w:tcW w:w="344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top"/>
                </w:tcPr>
                <w:p>
                  <w:pPr>
                    <w:shd w:val="clear" w:color="auto" w:fill="C7DAF1" w:themeFill="text2" w:themeFillTint="32"/>
                    <w:jc w:val="left"/>
                    <w:rPr>
                      <w:rFonts w:hint="default" w:ascii="Times New Roman" w:hAnsi="Times New Roman" w:eastAsia="宋体" w:cs="Times New Roman"/>
                      <w:kern w:val="2"/>
                      <w:sz w:val="21"/>
                      <w:szCs w:val="24"/>
                      <w:lang w:val="en-US" w:eastAsia="zh-CN" w:bidi="ar-SA"/>
                    </w:rPr>
                  </w:pPr>
                  <w:r>
                    <w:rPr>
                      <w:rFonts w:hint="eastAsia"/>
                      <w:lang w:val="en-US" w:eastAsia="zh-CN"/>
                    </w:rPr>
                    <w:t>环形混凝土电杆</w:t>
                  </w:r>
                </w:p>
              </w:tc>
              <w:tc>
                <w:tcPr>
                  <w:tcW w:w="3445"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rPr>
                    <w:t>配料、离心成型过程</w:t>
                  </w:r>
                </w:p>
              </w:tc>
              <w:tc>
                <w:tcPr>
                  <w:tcW w:w="3265" w:type="dxa"/>
                  <w:vAlign w:val="top"/>
                </w:tcPr>
                <w:p>
                  <w:pPr>
                    <w:shd w:val="clear" w:color="auto" w:fill="C7DAF1" w:themeFill="text2"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hd w:val="clear" w:color="auto" w:fill="C7DAF1" w:themeFill="text2" w:themeFillTint="32"/>
                    <w:jc w:val="left"/>
                  </w:pPr>
                  <w:r>
                    <w:rPr>
                      <w:rFonts w:hint="eastAsia" w:asciiTheme="majorEastAsia" w:hAnsiTheme="majorEastAsia" w:eastAsiaTheme="majorEastAsia"/>
                      <w:color w:val="000000"/>
                      <w:spacing w:val="-10"/>
                      <w:sz w:val="20"/>
                      <w:szCs w:val="20"/>
                    </w:rPr>
                    <w:t>钢筋混凝土排水管</w:t>
                  </w:r>
                </w:p>
              </w:tc>
              <w:tc>
                <w:tcPr>
                  <w:tcW w:w="3445" w:type="dxa"/>
                </w:tcPr>
                <w:p>
                  <w:pPr>
                    <w:shd w:val="clear" w:color="auto" w:fill="C7DAF1" w:themeFill="text2" w:themeFillTint="32"/>
                    <w:jc w:val="left"/>
                  </w:pPr>
                  <w:r>
                    <w:rPr>
                      <w:rFonts w:hint="eastAsia"/>
                    </w:rPr>
                    <w:t>配料、</w:t>
                  </w:r>
                  <w:r>
                    <w:rPr>
                      <w:rFonts w:hint="eastAsia" w:ascii="宋体" w:hAnsi="宋体"/>
                      <w:szCs w:val="21"/>
                    </w:rPr>
                    <w:t>悬滚成型</w:t>
                  </w:r>
                  <w:r>
                    <w:rPr>
                      <w:rFonts w:hint="eastAsia"/>
                    </w:rPr>
                    <w:t>过程</w:t>
                  </w:r>
                </w:p>
              </w:tc>
              <w:tc>
                <w:tcPr>
                  <w:tcW w:w="3265" w:type="dxa"/>
                </w:tcPr>
                <w:p>
                  <w:pPr>
                    <w:shd w:val="clear" w:color="auto" w:fill="C7DAF1" w:themeFill="text2" w:themeFillTint="32"/>
                    <w:jc w:val="left"/>
                  </w:pPr>
                  <w:r>
                    <w:rPr>
                      <w:rFonts w:hint="eastAsia"/>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shd w:val="clear" w:color="auto" w:fill="C7DAF1" w:themeFill="text2" w:themeFillTint="32"/>
                    <w:jc w:val="left"/>
                  </w:pPr>
                </w:p>
              </w:tc>
              <w:tc>
                <w:tcPr>
                  <w:tcW w:w="344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Times New Roman" w:hAnsi="Times New Roman" w:eastAsia="宋体" w:cs="Times New Roman"/>
                <w:u w:val="single"/>
              </w:rPr>
              <w:t>焊接过程</w:t>
            </w:r>
            <w:r>
              <w:rPr>
                <w:rFonts w:hint="eastAsia"/>
              </w:rPr>
              <w:t>，</w:t>
            </w:r>
          </w:p>
          <w:p>
            <w:pPr>
              <w:shd w:val="clear" w:color="auto" w:fill="C7DAF1" w:themeFill="text2" w:themeFillTint="32"/>
              <w:jc w:val="left"/>
            </w:pP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可追溯性实现：■符合要求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配方 ■个人信息 ■其他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■赔偿 </w:t>
            </w:r>
            <w:r>
              <w:rPr>
                <w:rFonts w:hint="eastAsia" w:ascii="Wingdings" w:hAnsi="Wingdings"/>
              </w:rPr>
              <w:t>¨</w:t>
            </w:r>
            <w:r>
              <w:rPr>
                <w:rFonts w:hint="eastAsia"/>
              </w:rPr>
              <w:t xml:space="preserve">道歉 ■最终处置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产品检验报告</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ascii="Times New Roman" w:hAnsi="Times New Roman" w:eastAsia="宋体" w:cs="Times New Roman"/>
              </w:rPr>
              <w:t>组织已</w:t>
            </w:r>
            <w:r>
              <w:rPr>
                <w:rFonts w:hint="eastAsia" w:ascii="Times New Roman" w:hAnsi="Times New Roman" w:eastAsia="宋体" w:cs="Times New Roman"/>
              </w:rPr>
              <w:fldChar w:fldCharType="begin"/>
            </w:r>
            <w:r>
              <w:rPr>
                <w:rFonts w:hint="eastAsia" w:ascii="Times New Roman" w:hAnsi="Times New Roman" w:eastAsia="宋体" w:cs="Times New Roman"/>
              </w:rPr>
              <w:fldChar w:fldCharType="end"/>
            </w:r>
            <w:r>
              <w:rPr>
                <w:rFonts w:hint="eastAsia" w:ascii="Times New Roman" w:hAnsi="Times New Roman" w:eastAsia="宋体" w:cs="Times New Roman"/>
              </w:rPr>
              <w:t>通过年度策划于2022年3月14日至15日实施了质量管理体系内部审核，对质量管理体系的符合性和有效性进行了审核。内审发现的</w:t>
            </w:r>
            <w:r>
              <w:rPr>
                <w:rFonts w:hint="eastAsia" w:ascii="Times New Roman" w:hAnsi="Times New Roman" w:eastAsia="宋体" w:cs="Times New Roman"/>
                <w:lang w:val="en-US" w:eastAsia="zh-CN"/>
              </w:rPr>
              <w:t>1</w:t>
            </w:r>
            <w:r>
              <w:rPr>
                <w:rFonts w:hint="eastAsia" w:ascii="Times New Roman" w:hAnsi="Times New Roman" w:eastAsia="宋体" w:cs="Times New Roman"/>
              </w:rPr>
              <w:t>项不符合在本次审核前已完成整改。</w:t>
            </w:r>
            <w:r>
              <w:rPr>
                <w:rFonts w:hint="eastAsia"/>
              </w:rPr>
              <w:t>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w:t>
            </w:r>
            <w:r>
              <w:rPr>
                <w:rFonts w:hint="eastAsia" w:ascii="Times New Roman" w:hAnsi="Times New Roman" w:eastAsia="宋体" w:cs="Times New Roman"/>
              </w:rPr>
              <w:t>策划的时间间隔，在2022年3月28日对组织的质量</w:t>
            </w:r>
            <w:r>
              <w:rPr>
                <w:rFonts w:hint="eastAsia"/>
              </w:rPr>
              <w:t>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highlight w:val="none"/>
                <w:lang w:eastAsia="ja-JP"/>
              </w:rPr>
            </w:pPr>
            <w:r>
              <w:rPr>
                <w:rFonts w:hint="eastAsia"/>
                <w:highlight w:val="none"/>
              </w:rPr>
              <w:t>6.1</w:t>
            </w:r>
          </w:p>
        </w:tc>
        <w:tc>
          <w:tcPr>
            <w:tcW w:w="650" w:type="dxa"/>
            <w:vAlign w:val="center"/>
          </w:tcPr>
          <w:p>
            <w:pPr>
              <w:shd w:val="clear" w:color="auto" w:fill="C7DAF1" w:themeFill="text2" w:themeFillTint="32"/>
              <w:rPr>
                <w:highlight w:val="none"/>
                <w:lang w:eastAsia="ja-JP"/>
              </w:rPr>
            </w:pPr>
            <w:r>
              <w:rPr>
                <w:rFonts w:hint="eastAsia"/>
                <w:highlight w:val="none"/>
              </w:rPr>
              <w:t>6.2</w:t>
            </w:r>
          </w:p>
        </w:tc>
        <w:tc>
          <w:tcPr>
            <w:tcW w:w="649" w:type="dxa"/>
            <w:vAlign w:val="center"/>
          </w:tcPr>
          <w:p>
            <w:pPr>
              <w:shd w:val="clear" w:color="auto" w:fill="C7DAF1" w:themeFill="text2" w:themeFillTint="32"/>
              <w:rPr>
                <w:highlight w:val="none"/>
                <w:lang w:eastAsia="ja-JP"/>
              </w:rPr>
            </w:pPr>
            <w:r>
              <w:rPr>
                <w:rFonts w:hint="eastAsia"/>
                <w:highlight w:val="none"/>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4</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50" w:type="dxa"/>
            <w:vAlign w:val="center"/>
          </w:tcPr>
          <w:p>
            <w:pPr>
              <w:shd w:val="clear" w:color="auto" w:fill="C7DAF1" w:themeFill="text2" w:themeFillTint="32"/>
              <w:rPr>
                <w:highlight w:val="none"/>
                <w:lang w:eastAsia="ja-JP"/>
              </w:rPr>
            </w:pPr>
            <w:r>
              <w:rPr>
                <w:highlight w:val="none"/>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red"/>
                <w:lang w:eastAsia="ja-JP"/>
              </w:rPr>
            </w:pPr>
          </w:p>
        </w:tc>
        <w:tc>
          <w:tcPr>
            <w:tcW w:w="650" w:type="dxa"/>
            <w:vAlign w:val="center"/>
          </w:tcPr>
          <w:p>
            <w:pPr>
              <w:shd w:val="clear" w:color="auto" w:fill="C7DAF1" w:themeFill="text2" w:themeFillTint="32"/>
              <w:rPr>
                <w:highlight w:val="red"/>
                <w:lang w:eastAsia="ja-JP"/>
              </w:rPr>
            </w:pPr>
          </w:p>
        </w:tc>
        <w:tc>
          <w:tcPr>
            <w:tcW w:w="650" w:type="dxa"/>
            <w:vAlign w:val="center"/>
          </w:tcPr>
          <w:p>
            <w:pPr>
              <w:shd w:val="clear" w:color="auto" w:fill="C7DAF1" w:themeFill="text2" w:themeFillTint="32"/>
              <w:rPr>
                <w:highlight w:val="red"/>
                <w:lang w:eastAsia="ja-JP"/>
              </w:rPr>
            </w:pPr>
          </w:p>
        </w:tc>
        <w:tc>
          <w:tcPr>
            <w:tcW w:w="649" w:type="dxa"/>
            <w:vAlign w:val="center"/>
          </w:tcPr>
          <w:p>
            <w:pPr>
              <w:shd w:val="clear" w:color="auto" w:fill="C7DAF1" w:themeFill="text2" w:themeFillTint="32"/>
              <w:rPr>
                <w:highlight w:val="red"/>
                <w:lang w:eastAsia="ja-JP"/>
              </w:rPr>
            </w:pPr>
          </w:p>
        </w:tc>
        <w:tc>
          <w:tcPr>
            <w:tcW w:w="650" w:type="dxa"/>
            <w:vAlign w:val="center"/>
          </w:tcPr>
          <w:p>
            <w:pPr>
              <w:shd w:val="clear" w:color="auto" w:fill="C7DAF1" w:themeFill="text2" w:themeFillTint="32"/>
              <w:rPr>
                <w:highlight w:val="red"/>
                <w:lang w:eastAsia="ja-JP"/>
              </w:rPr>
            </w:pPr>
          </w:p>
        </w:tc>
        <w:tc>
          <w:tcPr>
            <w:tcW w:w="650" w:type="dxa"/>
            <w:vAlign w:val="center"/>
          </w:tcPr>
          <w:p>
            <w:pPr>
              <w:shd w:val="clear" w:color="auto" w:fill="C7DAF1" w:themeFill="text2" w:themeFillTint="32"/>
              <w:rPr>
                <w:highlight w:val="red"/>
                <w:lang w:eastAsia="ja-JP"/>
              </w:rPr>
            </w:pPr>
          </w:p>
        </w:tc>
        <w:tc>
          <w:tcPr>
            <w:tcW w:w="649" w:type="dxa"/>
            <w:shd w:val="pct25" w:color="auto" w:fill="auto"/>
            <w:vAlign w:val="center"/>
          </w:tcPr>
          <w:p>
            <w:pPr>
              <w:shd w:val="clear" w:color="auto" w:fill="C7DAF1" w:themeFill="text2" w:themeFillTint="32"/>
              <w:rPr>
                <w:highlight w:val="red"/>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IzNjhjZjkxMjg2OGJjOTQ0NThhNzBhOGI4YTVmYWYifQ=="/>
  </w:docVars>
  <w:rsids>
    <w:rsidRoot w:val="00000000"/>
    <w:rsid w:val="00F523FB"/>
    <w:rsid w:val="037B0103"/>
    <w:rsid w:val="0E3270CE"/>
    <w:rsid w:val="0FCA42ED"/>
    <w:rsid w:val="17F43647"/>
    <w:rsid w:val="1EEA4952"/>
    <w:rsid w:val="269357C9"/>
    <w:rsid w:val="2D8C35C2"/>
    <w:rsid w:val="2E7B108D"/>
    <w:rsid w:val="383868F3"/>
    <w:rsid w:val="42F40E62"/>
    <w:rsid w:val="53B349E2"/>
    <w:rsid w:val="57C76782"/>
    <w:rsid w:val="5A9A12D8"/>
    <w:rsid w:val="5DEA03F9"/>
    <w:rsid w:val="5E5F1000"/>
    <w:rsid w:val="61C32376"/>
    <w:rsid w:val="63F83D52"/>
    <w:rsid w:val="742348D0"/>
    <w:rsid w:val="74816655"/>
    <w:rsid w:val="7A4D3ECC"/>
    <w:rsid w:val="7FB952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18616</Words>
  <Characters>19274</Characters>
  <Lines>150</Lines>
  <Paragraphs>42</Paragraphs>
  <TotalTime>0</TotalTime>
  <ScaleCrop>false</ScaleCrop>
  <LinksUpToDate>false</LinksUpToDate>
  <CharactersWithSpaces>19395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誰汻誰天荒地鮱</cp:lastModifiedBy>
  <cp:lastPrinted>2019-05-13T03:19:00Z</cp:lastPrinted>
  <dcterms:modified xsi:type="dcterms:W3CDTF">2022-08-24T15:17:24Z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2052-11.1.0.12302</vt:lpwstr>
  </property>
</Properties>
</file>