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0544-2022-EO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四川省巴蜀危险品运输有限公司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915101126696586482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E:191,O:191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四川省巴蜀危险品运输有限公司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8" w:name="审核范围"/>
            <w:r>
              <w:rPr>
                <w:sz w:val="20"/>
                <w:szCs w:val="20"/>
              </w:rPr>
              <w:t>E：许可范围内货物专用运输（集装箱）服务、普通货物运输服务，危险货物运输服务（1类、2类1项、2类2项、2类3项、3类、4类、5类不含剧毒化学品、6类、8类、9类），危险废物运输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O：许可范围内货物专用运输（集装箱）服务、普通货物运输服务，危险货物运输服务（1类、2类1项、2类2项、2类3项、3类、4类、5类不含剧毒化学品、6类、8类、9类），危险废物运输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四川省成都经济技术开发区（龙泉驿区）南六路689号1栋1层1号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四川省成都经济技术开发区（龙泉驿区）南六路689号1栋1层1号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green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gree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gree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gree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3AB6A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1452</Words>
  <Characters>2307</Characters>
  <Lines>18</Lines>
  <Paragraphs>5</Paragraphs>
  <TotalTime>5</TotalTime>
  <ScaleCrop>false</ScaleCrop>
  <LinksUpToDate>false</LinksUpToDate>
  <CharactersWithSpaces>2522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2022-07-25T07:35:06Z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