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四川省巴蜀危险品运输有限公司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0544-2022-EO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四川省成都经济技术开发区（龙泉驿区）南六路689号1栋1层1号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冯小波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四川省成都经济技术开发区（龙泉驿区）南六路689号1栋1层1号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黄元勇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18081920790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18081920790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许可范围内货物专用运输（集装箱）服务、普通货物运输服务，危险货物运输服务（1类、2类1项、2类2项、2类3项、3类、4类、5类不含剧毒化学品、6类、8类、9类），危险废物运输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许可范围内货物专用运输（集装箱）服务、普通货物运输服务，危险货物运输服务（1类、2类1项、2类2项、2类3项、3类、4类、5类不含剧毒化学品、6类、8类、9类），危险废物运输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E：31.04.01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O：31.04.01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EO一体化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191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E:191,O:191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不符合 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项    分布部门：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调度部/车辆安全部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不符合标准及条款：GB/T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eastAsia="宋体" w:cs="Times New Roman"/>
                <w:sz w:val="24"/>
              </w:rPr>
              <w:t>001-20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idt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ISO45</w:t>
            </w:r>
            <w:r>
              <w:rPr>
                <w:rFonts w:hint="eastAsia" w:ascii="宋体" w:hAnsi="宋体" w:eastAsia="宋体" w:cs="Times New Roman"/>
                <w:sz w:val="24"/>
              </w:rPr>
              <w:t>001:20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标准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8.1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条款 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不符合性质：■一般不符合   □严重不符合</w:t>
            </w:r>
          </w:p>
          <w:p>
            <w:pPr>
              <w:pStyle w:val="2"/>
            </w:pPr>
          </w:p>
          <w:p>
            <w:pPr>
              <w:spacing w:line="240" w:lineRule="atLeast"/>
              <w:rPr>
                <w:rFonts w:ascii="宋体" w:hAnsi="宋体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下次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审核建议：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关注重要岗位员工三级安全教育执行情况，现场作业安全策划及实施等。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QMS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EMS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2"/>
                <w:szCs w:val="22"/>
                <w:highlight w:val="none"/>
                <w:lang w:eastAsia="zh-CN"/>
              </w:rPr>
              <w:pict>
                <v:shape id="_x0000_s1026" o:spid="_x0000_s1026" o:spt="75" alt="fd760dbe16eb6185a5a45f762861822" type="#_x0000_t75" style="position:absolute;left:0pt;margin-left:87.2pt;margin-top:25.7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 xml:space="preserve">              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2022年7月28日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31D215FA"/>
    <w:rsid w:val="5E206E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1977</Words>
  <Characters>2150</Characters>
  <Lines>16</Lines>
  <Paragraphs>4</Paragraphs>
  <TotalTime>2</TotalTime>
  <ScaleCrop>false</ScaleCrop>
  <LinksUpToDate>false</LinksUpToDate>
  <CharactersWithSpaces>2663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2022-07-30T01:31:19Z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