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新疆亚欧大陆桥铁路物资有限责任公司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牛海萍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查环境安全法律法规清单，中华人民共和国消防法等未及时进行更新，不符合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bookmarkStart w:id="18" w:name="总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2950845</wp:posOffset>
                  </wp:positionH>
                  <wp:positionV relativeFrom="paragraph">
                    <wp:posOffset>31750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8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1474470</wp:posOffset>
                  </wp:positionH>
                  <wp:positionV relativeFrom="paragraph">
                    <wp:posOffset>12700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22860</wp:posOffset>
                  </wp:positionV>
                  <wp:extent cx="631825" cy="259080"/>
                  <wp:effectExtent l="0" t="0" r="8255" b="0"/>
                  <wp:wrapNone/>
                  <wp:docPr id="21" name="图片 21" descr="微信图片_20220510090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微信图片_202205100902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3789045</wp:posOffset>
                  </wp:positionH>
                  <wp:positionV relativeFrom="paragraph">
                    <wp:posOffset>60960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BD9322B"/>
    <w:rsid w:val="392B6795"/>
    <w:rsid w:val="6C421F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506</Words>
  <Characters>698</Characters>
  <Lines>6</Lines>
  <Paragraphs>1</Paragraphs>
  <TotalTime>1</TotalTime>
  <ScaleCrop>false</ScaleCrop>
  <LinksUpToDate>false</LinksUpToDate>
  <CharactersWithSpaces>941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2022-09-01T03:34:37Z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