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0282-2020-QEO-2022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新疆亚欧大陆桥铁路物资有限责任公司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新疆亚欧大陆桥铁路物资有限责任公司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新疆乌鲁木齐市新市区江苏西路11号(铁路局四街4-3号)</w:t>
            </w:r>
            <w:bookmarkEnd w:id="6"/>
          </w:p>
        </w:tc>
        <w:tc>
          <w:tcPr>
            <w:tcW w:w="1242" w:type="dxa"/>
            <w:vMerge w:val="restart"/>
            <w:vAlign w:val="center"/>
          </w:tcPr>
          <w:p>
            <w:r>
              <w:rPr>
                <w:rFonts w:hint="eastAsia"/>
              </w:rPr>
              <w:t>邮编</w:t>
            </w:r>
          </w:p>
        </w:tc>
        <w:tc>
          <w:tcPr>
            <w:tcW w:w="1771" w:type="dxa"/>
          </w:tcPr>
          <w:p>
            <w:bookmarkStart w:id="7" w:name="注册邮编"/>
            <w:r>
              <w:t>830023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新疆乌鲁木齐市新市区太原路643号2楼</w:t>
            </w:r>
            <w:bookmarkEnd w:id="8"/>
          </w:p>
        </w:tc>
        <w:tc>
          <w:tcPr>
            <w:tcW w:w="1242" w:type="dxa"/>
            <w:vMerge w:val="continue"/>
            <w:vAlign w:val="center"/>
          </w:tcPr>
          <w:p/>
        </w:tc>
        <w:tc>
          <w:tcPr>
            <w:tcW w:w="1771" w:type="dxa"/>
          </w:tcPr>
          <w:p>
            <w:bookmarkStart w:id="9" w:name="办公邮编"/>
            <w:r>
              <w:t>830023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牛海萍</w:t>
            </w:r>
            <w:bookmarkEnd w:id="10"/>
          </w:p>
        </w:tc>
        <w:tc>
          <w:tcPr>
            <w:tcW w:w="1313" w:type="dxa"/>
            <w:vAlign w:val="center"/>
          </w:tcPr>
          <w:p>
            <w:r>
              <w:rPr>
                <w:rFonts w:hint="eastAsia"/>
              </w:rPr>
              <w:t>电话.</w:t>
            </w:r>
          </w:p>
        </w:tc>
        <w:tc>
          <w:tcPr>
            <w:tcW w:w="2180" w:type="dxa"/>
            <w:vAlign w:val="center"/>
          </w:tcPr>
          <w:p>
            <w:bookmarkStart w:id="11" w:name="联系人电话"/>
            <w:r>
              <w:t>13718967001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朱宏伟</w:t>
            </w:r>
            <w:bookmarkEnd w:id="13"/>
          </w:p>
        </w:tc>
        <w:tc>
          <w:tcPr>
            <w:tcW w:w="1313" w:type="dxa"/>
            <w:vAlign w:val="center"/>
          </w:tcPr>
          <w:p>
            <w:r>
              <w:rPr>
                <w:rFonts w:hint="eastAsia"/>
              </w:rPr>
              <w:t>管理者代表</w:t>
            </w:r>
          </w:p>
        </w:tc>
        <w:tc>
          <w:tcPr>
            <w:tcW w:w="2180" w:type="dxa"/>
          </w:tcPr>
          <w:p>
            <w:bookmarkStart w:id="14" w:name="管理者代表"/>
            <w:r>
              <w:t>牛海萍</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业务洽谈―签订合同―产品采</w:t>
            </w:r>
            <w:r>
              <w:rPr>
                <w:rFonts w:hint="eastAsia"/>
                <w:szCs w:val="22"/>
              </w:rPr>
              <w:t>购―发货至顾客指定地址― 验收―结算</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2022年08月29日 至2022年08月29日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新疆乌鲁木齐市新市区太原路643号2楼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Q：铁路专用产品及机电产品、五金交电的销售</w:t>
            </w:r>
          </w:p>
          <w:p>
            <w:r>
              <w:t>E：铁路专用产品及机电产品、五金交电的销售及相关环境管理活动</w:t>
            </w:r>
          </w:p>
          <w:p>
            <w:r>
              <w:t>O：铁路专用产品及机电产品、五金交电的销售及相关职业健康安全管理活动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2019.12.14</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2021年6月30日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2023年6月22日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新疆亚欧大陆桥铁路物资有限责任公司</w:t>
            </w:r>
            <w:r>
              <w:rPr>
                <w:rFonts w:hint="eastAsia"/>
                <w:sz w:val="21"/>
                <w:szCs w:val="21"/>
                <w:lang w:val="en-US" w:eastAsia="zh-CN"/>
              </w:rPr>
              <w:t>/</w:t>
            </w:r>
            <w:r>
              <w:rPr>
                <w:rFonts w:asciiTheme="minorEastAsia" w:hAnsiTheme="minorEastAsia" w:eastAsiaTheme="minorEastAsia"/>
                <w:sz w:val="20"/>
              </w:rPr>
              <w:t>新疆乌鲁木齐市新市区江苏西路11号(铁路局四街4-3号)</w:t>
            </w:r>
          </w:p>
        </w:tc>
        <w:tc>
          <w:tcPr>
            <w:tcW w:w="2267" w:type="dxa"/>
          </w:tcPr>
          <w:p>
            <w:pPr>
              <w:rPr>
                <w:lang w:val="de-DE" w:eastAsia="ja-JP"/>
              </w:rPr>
            </w:pPr>
            <w:r>
              <w:rPr>
                <w:rFonts w:asciiTheme="minorEastAsia" w:hAnsiTheme="minorEastAsia" w:eastAsiaTheme="minorEastAsia"/>
                <w:sz w:val="20"/>
              </w:rPr>
              <w:t>新疆乌鲁木齐市新市区太原路643号2楼</w:t>
            </w:r>
          </w:p>
        </w:tc>
        <w:tc>
          <w:tcPr>
            <w:tcW w:w="571" w:type="dxa"/>
            <w:vAlign w:val="center"/>
          </w:tcPr>
          <w:p>
            <w:pPr>
              <w:rPr>
                <w:rFonts w:hint="default" w:eastAsia="宋体"/>
                <w:lang w:val="en-US" w:eastAsia="zh-CN"/>
              </w:rPr>
            </w:pPr>
            <w:r>
              <w:rPr>
                <w:rFonts w:hint="eastAsia"/>
                <w:lang w:val="en-US" w:eastAsia="zh-CN"/>
              </w:rPr>
              <w:t>25人</w:t>
            </w:r>
          </w:p>
        </w:tc>
        <w:tc>
          <w:tcPr>
            <w:tcW w:w="2803" w:type="dxa"/>
            <w:vAlign w:val="center"/>
          </w:tcPr>
          <w:p>
            <w:pPr>
              <w:rPr>
                <w:sz w:val="20"/>
              </w:rPr>
            </w:pPr>
            <w:r>
              <w:rPr>
                <w:sz w:val="20"/>
              </w:rPr>
              <w:t>Q：铁路专用产品及机电产品、五金交电的销售</w:t>
            </w:r>
          </w:p>
          <w:p>
            <w:pPr>
              <w:rPr>
                <w:sz w:val="20"/>
              </w:rPr>
            </w:pPr>
            <w:r>
              <w:rPr>
                <w:sz w:val="20"/>
              </w:rPr>
              <w:t>E：铁路专用产品及机电产品、五金交电的销售及相关环境管理活动</w:t>
            </w:r>
          </w:p>
          <w:p>
            <w:pPr>
              <w:rPr>
                <w:lang w:eastAsia="ja-JP"/>
              </w:rPr>
            </w:pPr>
            <w:r>
              <w:rPr>
                <w:sz w:val="20"/>
              </w:rPr>
              <w:t>O：铁路专用产品及机电产品、五金交电的销售及相关职业健康安全管理活动</w:t>
            </w:r>
          </w:p>
        </w:tc>
        <w:tc>
          <w:tcPr>
            <w:tcW w:w="669" w:type="dxa"/>
            <w:vAlign w:val="center"/>
          </w:tcPr>
          <w:p>
            <w:pPr>
              <w:spacing w:before="40" w:after="40"/>
              <w:rPr>
                <w:rFonts w:hint="eastAsia" w:ascii="宋体" w:hAnsi="宋体"/>
                <w:b/>
                <w:sz w:val="21"/>
                <w:szCs w:val="21"/>
              </w:rPr>
            </w:pPr>
            <w:r>
              <w:rPr>
                <w:rFonts w:hint="eastAsia" w:ascii="宋体" w:hAnsi="宋体"/>
                <w:b/>
                <w:sz w:val="21"/>
                <w:szCs w:val="21"/>
              </w:rPr>
              <w:t>GB/T19001-2016</w:t>
            </w:r>
          </w:p>
          <w:p>
            <w:pPr>
              <w:spacing w:before="40" w:after="40"/>
              <w:rPr>
                <w:rFonts w:hint="eastAsia" w:ascii="宋体" w:hAnsi="宋体"/>
                <w:b/>
                <w:sz w:val="21"/>
                <w:szCs w:val="21"/>
              </w:rPr>
            </w:pPr>
            <w:r>
              <w:rPr>
                <w:rFonts w:hint="eastAsia" w:ascii="宋体" w:hAnsi="宋体"/>
                <w:b/>
                <w:sz w:val="21"/>
                <w:szCs w:val="21"/>
              </w:rPr>
              <w:t>GB/T24001-2016</w:t>
            </w:r>
          </w:p>
          <w:p>
            <w:pPr>
              <w:spacing w:before="40" w:after="40"/>
              <w:rPr>
                <w:rFonts w:hint="eastAsia" w:ascii="宋体" w:hAnsi="宋体" w:eastAsia="宋体" w:cs="Times New Roman"/>
                <w:b/>
                <w:kern w:val="2"/>
                <w:sz w:val="21"/>
                <w:szCs w:val="21"/>
                <w:lang w:val="en-US" w:eastAsia="ja-JP" w:bidi="ar-SA"/>
              </w:rPr>
            </w:pPr>
            <w:r>
              <w:rPr>
                <w:rFonts w:hint="eastAsia" w:ascii="宋体" w:hAnsi="宋体"/>
                <w:b/>
                <w:sz w:val="21"/>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喻荣秋</w:t>
            </w:r>
          </w:p>
        </w:tc>
        <w:tc>
          <w:tcPr>
            <w:tcW w:w="1089" w:type="dxa"/>
            <w:vAlign w:val="center"/>
          </w:tcPr>
          <w:p>
            <w:r>
              <w:t>组员</w:t>
            </w:r>
          </w:p>
        </w:tc>
        <w:tc>
          <w:tcPr>
            <w:tcW w:w="711" w:type="dxa"/>
            <w:vAlign w:val="center"/>
          </w:tcPr>
          <w:p>
            <w:r>
              <w:t>女</w:t>
            </w:r>
          </w:p>
        </w:tc>
        <w:tc>
          <w:tcPr>
            <w:tcW w:w="3870" w:type="dxa"/>
            <w:vAlign w:val="center"/>
          </w:tcPr>
          <w:p>
            <w:r>
              <w:t>2021-N1QMS-1274747</w:t>
            </w:r>
          </w:p>
          <w:p>
            <w:r>
              <w:t>2021-N1EMS-1274747</w:t>
            </w:r>
          </w:p>
        </w:tc>
        <w:tc>
          <w:tcPr>
            <w:tcW w:w="2179" w:type="dxa"/>
            <w:vAlign w:val="center"/>
          </w:tcPr>
          <w:p>
            <w: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组员</w:t>
            </w:r>
          </w:p>
        </w:tc>
        <w:tc>
          <w:tcPr>
            <w:tcW w:w="711" w:type="dxa"/>
            <w:vAlign w:val="center"/>
          </w:tcPr>
          <w:p>
            <w:r>
              <w:t>女</w:t>
            </w:r>
          </w:p>
        </w:tc>
        <w:tc>
          <w:tcPr>
            <w:tcW w:w="3870" w:type="dxa"/>
            <w:vAlign w:val="center"/>
          </w:tcPr>
          <w:p>
            <w:r>
              <w:t>2022-N1QMS-3210533</w:t>
            </w:r>
          </w:p>
          <w:p>
            <w:r>
              <w:t>2021-N1EMS-1210533</w:t>
            </w:r>
          </w:p>
          <w:p>
            <w:r>
              <w:t>2021-N1OHSMS-1210533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ascii="Times New Roman" w:hAnsi="Times New Roman" w:eastAsia="宋体" w:cs="Times New Roman"/>
                <w:kern w:val="2"/>
                <w:sz w:val="21"/>
                <w:szCs w:val="24"/>
                <w:lang w:val="en-US" w:eastAsia="zh-CN" w:bidi="ar-SA"/>
              </w:rPr>
            </w:pP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ascii="Times New Roman" w:hAnsi="Times New Roman" w:eastAsia="宋体" w:cs="Times New Roman"/>
                <w:kern w:val="2"/>
                <w:sz w:val="21"/>
                <w:szCs w:val="24"/>
                <w:lang w:val="en-US" w:eastAsia="zh-CN" w:bidi="ar-SA"/>
              </w:rPr>
            </w:pP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铁路专用产品及机电产品、五金交电的销售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铁路专用产品及机电产品、五金交电的销售及相关环境管理活动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铁路专用产品及机电产品、五金交电的销售及相关职业健康安全管理活动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361315</wp:posOffset>
                  </wp:positionH>
                  <wp:positionV relativeFrom="paragraph">
                    <wp:posOffset>52705</wp:posOffset>
                  </wp:positionV>
                  <wp:extent cx="544830" cy="259715"/>
                  <wp:effectExtent l="0" t="0" r="3810" b="14605"/>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5971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2022年8月30日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A3"/>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w:t>
            </w:r>
            <w:r>
              <w:rPr>
                <w:rFonts w:hint="eastAsia"/>
                <w:lang w:eastAsia="zh-CN"/>
              </w:rPr>
              <w:t>管理体系方针：安全为天、质量为先、守法诚信、保护环境、持续发展、顾客满意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物资管理部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服务</w:t>
                  </w:r>
                  <w:r>
                    <w:rPr>
                      <w:rFonts w:hint="eastAsia" w:ascii="Times New Roman" w:hAnsi="Times New Roman" w:eastAsia="宋体" w:cs="Times New Roman"/>
                      <w:lang w:eastAsia="zh-CN"/>
                    </w:rPr>
                    <w:t>质量不良造成客户流失</w:t>
                  </w:r>
                </w:p>
              </w:tc>
              <w:tc>
                <w:tcPr>
                  <w:tcW w:w="3965" w:type="dxa"/>
                  <w:vAlign w:val="top"/>
                </w:tcPr>
                <w:p>
                  <w:pPr>
                    <w:pStyle w:val="25"/>
                    <w:snapToGrid w:val="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管理部门根据标准进行服务质量把控，并编制作业指导书，业务管理部门需与客户沟通好产品质量要求，确保公司与客户双方质量要求一致；</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default" w:ascii="Times New Roman" w:hAnsi="Times New Roman" w:cs="Times New Roman"/>
                      <w:sz w:val="24"/>
                    </w:rPr>
                    <w:t>产品</w:t>
                  </w:r>
                  <w:r>
                    <w:rPr>
                      <w:rFonts w:hint="default" w:ascii="Times New Roman" w:hAnsi="Times New Roman" w:cs="Times New Roman"/>
                      <w:sz w:val="24"/>
                      <w:lang w:val="en-US" w:eastAsia="zh-CN"/>
                    </w:rPr>
                    <w:t>交付</w:t>
                  </w:r>
                  <w:r>
                    <w:rPr>
                      <w:rFonts w:hint="default" w:ascii="Times New Roman" w:hAnsi="Times New Roman" w:cs="Times New Roman"/>
                      <w:sz w:val="24"/>
                    </w:rPr>
                    <w:t>合格率98%</w:t>
                  </w:r>
                  <w:r>
                    <w:rPr>
                      <w:rFonts w:hint="default" w:ascii="Times New Roman" w:hAnsi="Times New Roman" w:cs="Times New Roman"/>
                      <w:sz w:val="24"/>
                      <w:lang w:val="en-US" w:eastAsia="zh-CN"/>
                    </w:rPr>
                    <w:t>以上</w:t>
                  </w:r>
                </w:p>
              </w:tc>
              <w:tc>
                <w:tcPr>
                  <w:tcW w:w="3136"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ascii="宋体" w:hAnsi="宋体"/>
                      <w:sz w:val="24"/>
                    </w:rPr>
                    <w:t>合格</w:t>
                  </w:r>
                  <w:r>
                    <w:rPr>
                      <w:rFonts w:hint="eastAsia" w:ascii="宋体" w:hAnsi="宋体"/>
                      <w:sz w:val="24"/>
                      <w:lang w:val="en-US" w:eastAsia="zh-CN"/>
                    </w:rPr>
                    <w:t>次数</w:t>
                  </w:r>
                  <w:r>
                    <w:rPr>
                      <w:rFonts w:hint="eastAsia" w:ascii="宋体" w:hAnsi="宋体"/>
                      <w:sz w:val="24"/>
                    </w:rPr>
                    <w:t>/交付批次</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物资管理部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default" w:ascii="Times New Roman" w:hAnsi="Times New Roman" w:cs="Times New Roman"/>
                      <w:color w:val="000000"/>
                      <w:sz w:val="24"/>
                    </w:rPr>
                    <w:t>顾客满意度90%以上</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lang w:val="en-US" w:eastAsia="zh-CN"/>
                    </w:rPr>
                    <w:t>物资管理部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1500</w:t>
            </w:r>
            <w:r>
              <w:rPr>
                <w:rFonts w:hint="eastAsia"/>
              </w:rPr>
              <w:t>平方米；生产车间个；库房个；实验室个；</w:t>
            </w:r>
          </w:p>
          <w:p>
            <w:pPr>
              <w:shd w:val="clear" w:color="auto" w:fill="C7DAF1" w:themeFill="text2" w:themeFillTint="32"/>
              <w:rPr>
                <w:u w:val="single"/>
              </w:rPr>
            </w:pPr>
            <w:r>
              <w:rPr>
                <w:rFonts w:hint="eastAsia"/>
              </w:rPr>
              <w:t>主要生产设备有：电脑（主机+显示器）、描扫仪/打印机一体、黑色打印机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销售服务</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销售服务</w:t>
                  </w:r>
                </w:p>
              </w:tc>
              <w:tc>
                <w:tcPr>
                  <w:tcW w:w="3265" w:type="dxa"/>
                </w:tcPr>
                <w:p>
                  <w:pPr>
                    <w:shd w:val="clear" w:color="auto" w:fill="C7DAF1" w:themeFill="text2" w:themeFillTint="32"/>
                    <w:jc w:val="left"/>
                  </w:pPr>
                  <w:r>
                    <w:rPr>
                      <w:rFonts w:hint="eastAsia"/>
                      <w:lang w:val="en-US" w:eastAsia="zh-CN"/>
                    </w:rPr>
                    <w:t>服务质量，顾客满意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2022年4月15日-16日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2022年4月29日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A3"/>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□政治 □监管  </w:t>
                  </w:r>
                  <w:r>
                    <w:rPr>
                      <w:rFonts w:hint="eastAsia"/>
                    </w:rPr>
                    <w:sym w:font="Wingdings 2" w:char="0052"/>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A3"/>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w:t>
            </w:r>
            <w:r>
              <w:rPr>
                <w:rFonts w:hint="eastAsia"/>
              </w:rPr>
              <w:sym w:font="Wingdings 2" w:char="0052"/>
            </w:r>
            <w:r>
              <w:rPr>
                <w:rFonts w:hint="eastAsia"/>
              </w:rPr>
              <w:t>营销和市场□生产</w:t>
            </w:r>
            <w:r>
              <w:rPr>
                <w:rFonts w:hint="eastAsia"/>
              </w:rPr>
              <w:sym w:font="Wingdings 2" w:char="0052"/>
            </w:r>
            <w:r>
              <w:rPr>
                <w:rFonts w:hint="eastAsia"/>
              </w:rPr>
              <w:t>检验</w:t>
            </w:r>
            <w:r>
              <w:rPr>
                <w:rFonts w:hint="eastAsia"/>
              </w:rPr>
              <w:sym w:font="Wingdings 2" w:char="00A3"/>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rPr>
              <w:sym w:font="Wingdings 2" w:char="0052"/>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最高管理者制定了文件化的</w:t>
            </w:r>
            <w:r>
              <w:rPr>
                <w:rFonts w:hint="eastAsia"/>
                <w:lang w:eastAsia="zh-CN"/>
              </w:rPr>
              <w:t>管理体系方针：安全为天、质量为先、守法诚信、保护环境、持续发展、顾客满意</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固废分类处理率100%</w:t>
                  </w:r>
                </w:p>
              </w:tc>
              <w:tc>
                <w:tcPr>
                  <w:tcW w:w="3136" w:type="dxa"/>
                  <w:shd w:val="clear" w:color="auto" w:fill="auto"/>
                  <w:vAlign w:val="center"/>
                </w:tcPr>
                <w:p>
                  <w:pPr>
                    <w:shd w:val="clear" w:color="auto" w:fill="EBF1DE" w:themeFill="accent3" w:themeFillTint="32"/>
                    <w:rPr>
                      <w:rFonts w:hint="eastAsia" w:ascii="楷体" w:hAnsi="楷体" w:eastAsia="楷体" w:cs="楷体"/>
                      <w:kern w:val="0"/>
                      <w:sz w:val="22"/>
                      <w:szCs w:val="24"/>
                      <w:lang w:val="en-GB"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kern w:val="2"/>
                      <w:sz w:val="21"/>
                      <w:szCs w:val="24"/>
                      <w:lang w:val="en-US" w:eastAsia="zh-CN" w:bidi="ar-SA"/>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火灾事故为0</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楷体" w:hAnsi="楷体" w:eastAsia="楷体" w:cs="楷体"/>
                      <w:kern w:val="0"/>
                      <w:sz w:val="22"/>
                      <w:lang w:val="en-US" w:eastAsia="zh-CN"/>
                    </w:rPr>
                    <w:t>管理方案、应急预案</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1400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lang w:val="en-US" w:eastAsia="zh-CN"/>
              </w:rPr>
              <w:t>电脑、打印机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A3"/>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2022年4月5日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2022年3月20日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2022年4月15日-16日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2022年4月29日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w:t>
                  </w:r>
                </w:p>
                <w:p>
                  <w:pPr>
                    <w:rPr>
                      <w:rFonts w:ascii="Times New Roman" w:hAnsi="Times New Roman" w:eastAsia="宋体" w:cs="Times New Roman"/>
                      <w:kern w:val="2"/>
                      <w:sz w:val="21"/>
                      <w:szCs w:val="24"/>
                      <w:lang w:val="en-US" w:eastAsia="zh-CN" w:bidi="ar-SA"/>
                    </w:rPr>
                  </w:pP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ascii="Times New Roman" w:hAnsi="Times New Roman" w:eastAsia="宋体" w:cs="Times New Roman"/>
                      <w:kern w:val="2"/>
                      <w:sz w:val="21"/>
                      <w:szCs w:val="24"/>
                      <w:lang w:val="en-US" w:eastAsia="zh-CN" w:bidi="ar-SA"/>
                    </w:rPr>
                  </w:pP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ascii="Times New Roman" w:hAnsi="Times New Roman" w:eastAsia="宋体" w:cs="Times New Roman"/>
                      <w:kern w:val="2"/>
                      <w:sz w:val="21"/>
                      <w:szCs w:val="24"/>
                      <w:lang w:val="en-US" w:eastAsia="zh-CN" w:bidi="ar-SA"/>
                    </w:rPr>
                  </w:pP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rPr>
              <w:sym w:font="Wingdings 2" w:char="0052"/>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eastAsia="zh-CN"/>
              </w:rPr>
            </w:pPr>
            <w:r>
              <w:rPr>
                <w:rFonts w:hint="eastAsia"/>
              </w:rPr>
              <w:t>最高管理者制定了文件化的职业健康安全</w:t>
            </w:r>
            <w:r>
              <w:rPr>
                <w:rFonts w:hint="eastAsia"/>
                <w:lang w:eastAsia="zh-CN"/>
              </w:rPr>
              <w:t>管理体系方针：安全为天、质量为先、守法诚信、保护环境、持续发展、顾客满意</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员工代表是——郭均科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日常办公</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遵守法律法规，加强安全培训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重大交通责任事故发生率为0</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火灾、触电事故为0</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ascii="Times New Roman" w:hAnsi="Times New Roman" w:eastAsia="宋体" w:cs="Times New Roman"/>
                      <w:kern w:val="2"/>
                      <w:sz w:val="21"/>
                      <w:szCs w:val="24"/>
                      <w:lang w:val="en-US" w:eastAsia="zh-CN" w:bidi="ar-SA"/>
                    </w:rPr>
                    <w:t>综合部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pPr>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pPr>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1400</w:t>
            </w:r>
            <w:r>
              <w:rPr>
                <w:rFonts w:hint="eastAsia"/>
              </w:rPr>
              <w:t>平方米；生产车间个；库房个；实验室个；</w:t>
            </w:r>
          </w:p>
          <w:p>
            <w:pPr>
              <w:rPr>
                <w:u w:val="single"/>
              </w:rPr>
            </w:pPr>
            <w:r>
              <w:rPr>
                <w:rFonts w:hint="eastAsia"/>
              </w:rPr>
              <w:t>主要生产设备有：</w:t>
            </w:r>
            <w:r>
              <w:rPr>
                <w:rFonts w:hint="eastAsia"/>
                <w:lang w:val="en-US" w:eastAsia="zh-CN"/>
              </w:rPr>
              <w:t>电脑、打印机</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A3"/>
            </w:r>
            <w:r>
              <w:rPr>
                <w:rFonts w:hint="eastAsia"/>
              </w:rPr>
              <w:t>离职</w:t>
            </w:r>
          </w:p>
          <w:p>
            <w:pPr>
              <w:rPr>
                <w:rFonts w:ascii="Times New Roman" w:hAnsi="Times New Roman" w:eastAsia="宋体" w:cs="Times New Roman"/>
                <w:kern w:val="2"/>
                <w:sz w:val="21"/>
                <w:szCs w:val="24"/>
                <w:lang w:val="en-US" w:eastAsia="zh-CN" w:bidi="ar-SA"/>
              </w:rPr>
            </w:pPr>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ascii="Times New Roman" w:hAnsi="Times New Roman" w:eastAsia="宋体" w:cs="Times New Roman"/>
                <w:kern w:val="2"/>
                <w:sz w:val="21"/>
                <w:szCs w:val="24"/>
                <w:lang w:val="en-US" w:eastAsia="zh-CN" w:bidi="ar-SA"/>
              </w:rPr>
            </w:pPr>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应急预案</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2022年4月5日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2022年3月20日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2022年4月15日-16日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2022年4月29日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pPr>
              <w:rPr>
                <w:rFonts w:ascii="Times New Roman" w:hAnsi="Times New Roman" w:eastAsia="宋体" w:cs="Times New Roman"/>
                <w:kern w:val="2"/>
                <w:sz w:val="21"/>
                <w:szCs w:val="24"/>
                <w:lang w:val="en-US" w:eastAsia="zh-CN" w:bidi="ar-SA"/>
              </w:rPr>
            </w:pPr>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18AD25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18697</Words>
  <Characters>19538</Characters>
  <Lines>150</Lines>
  <Paragraphs>42</Paragraphs>
  <TotalTime>0</TotalTime>
  <ScaleCrop>false</ScaleCrop>
  <LinksUpToDate>false</LinksUpToDate>
  <CharactersWithSpaces>19659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2022-09-26T16:29:10Z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