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-353695</wp:posOffset>
            </wp:positionV>
            <wp:extent cx="6602730" cy="9471660"/>
            <wp:effectExtent l="0" t="0" r="1270" b="2540"/>
            <wp:wrapNone/>
            <wp:docPr id="2" name="图片 2" descr="新文档 2019-12-24 21.42.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24 21.42.1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947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226"/>
        <w:gridCol w:w="1340"/>
        <w:gridCol w:w="135"/>
        <w:gridCol w:w="565"/>
        <w:gridCol w:w="144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西安博华机电股份有限公司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姚利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1991979610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18" w:type="dxa"/>
            <w:gridSpan w:val="8"/>
            <w:vAlign w:val="center"/>
          </w:tcPr>
          <w:p>
            <w:bookmarkStart w:id="10" w:name="审核范围"/>
            <w:r>
              <w:t>汽车制动系统的研发、生产及销售。</w:t>
            </w:r>
            <w:bookmarkEnd w:id="10"/>
          </w:p>
        </w:tc>
        <w:tc>
          <w:tcPr>
            <w:tcW w:w="70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223" w:type="dxa"/>
            <w:gridSpan w:val="3"/>
            <w:vAlign w:val="center"/>
          </w:tcPr>
          <w:p>
            <w:bookmarkStart w:id="11" w:name="专业代码"/>
            <w:r>
              <w:t>22.03.02;34.05.00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2019年12月22日 上午至2019年12月22日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22.03.02,34.05.00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559" w:type="dxa"/>
            <w:gridSpan w:val="3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923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23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2019.12.18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2019.12.22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9:30-12:00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审核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层、办公室（含财务）、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技术质量部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（含销售）、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：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了解受审核方基本概况，资质、法人、总经理及部门设置、主管部门。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了解受审核方管理体系策划情况。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确定认证范围和经营场所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了解受审核方理解和实施标准要求的情况，特别是对管理体系的关键绩效、过程、目标 和运作的识别情况；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了解受审核方文件、外来文件和环境、职业健康安全适用法律法规及其他要求控制情况；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了解受审核方是否策划和实施了内部审核；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了解管理评审控制情况；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了解财务资金投入情况等。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了解受审核方设计开发过程实现过程的策划和实施控制情况；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现场观察；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:30-1</w:t>
            </w:r>
            <w:r>
              <w:rPr>
                <w:rFonts w:hint="eastAsia" w:cs="Times New Roman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:00 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末次会议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D232BC5"/>
    <w:rsid w:val="0D3239B2"/>
    <w:rsid w:val="0F0F4C21"/>
    <w:rsid w:val="3D844B80"/>
    <w:rsid w:val="44274A07"/>
    <w:rsid w:val="4B643B97"/>
    <w:rsid w:val="645E0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2019-12-24T14:06:36Z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