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质量部</w:t>
            </w:r>
            <w:r>
              <w:rPr>
                <w:rFonts w:hint="eastAsia"/>
                <w:sz w:val="24"/>
                <w:szCs w:val="24"/>
              </w:rPr>
              <w:t xml:space="preserve">  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贾展鹏</w:t>
            </w:r>
            <w:r>
              <w:rPr>
                <w:rFonts w:hint="eastAsia"/>
                <w:sz w:val="24"/>
                <w:szCs w:val="24"/>
              </w:rPr>
              <w:t xml:space="preserve">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董旭辉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审核员：李俐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22.8.15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5.3组织的岗位职责和权限、6.2</w:t>
            </w:r>
            <w:r>
              <w:rPr>
                <w:rFonts w:hint="eastAsia" w:ascii="宋体" w:hAnsi="宋体" w:cs="Arial"/>
                <w:szCs w:val="24"/>
              </w:rPr>
              <w:t>环境目标</w:t>
            </w:r>
            <w:r>
              <w:rPr>
                <w:rFonts w:hint="eastAsia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>
            <w:pPr>
              <w:spacing w:line="360" w:lineRule="auto"/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贾展鹏</w:t>
            </w:r>
            <w:r>
              <w:rPr>
                <w:rFonts w:hint="eastAsia"/>
                <w:szCs w:val="22"/>
              </w:rPr>
              <w:t>部长介绍本部门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与部门负责人沟通，</w:t>
            </w:r>
            <w:r>
              <w:rPr>
                <w:rFonts w:hint="eastAsia"/>
                <w:szCs w:val="22"/>
                <w:lang w:eastAsia="zh-CN"/>
              </w:rPr>
              <w:t>贾展鹏</w:t>
            </w:r>
            <w:r>
              <w:rPr>
                <w:rFonts w:hint="eastAsia"/>
                <w:szCs w:val="22"/>
              </w:rPr>
              <w:t>部长了解本部门的职责权限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6.2</w:t>
            </w:r>
          </w:p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本部门的目标有: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提供20</w:t>
            </w:r>
            <w:r>
              <w:rPr>
                <w:rFonts w:hint="eastAsia"/>
                <w:szCs w:val="22"/>
                <w:lang w:val="en-US" w:eastAsia="zh-CN"/>
              </w:rPr>
              <w:t>22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8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《质量、环境和职业健康安全目标指标考核表》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>经考核以上各目标均已达成。考核人：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梁永旭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6.1.2</w:t>
            </w:r>
            <w:r>
              <w:rPr>
                <w:rFonts w:hint="eastAsia"/>
                <w:szCs w:val="22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品质</w:t>
            </w:r>
            <w:r>
              <w:rPr>
                <w:szCs w:val="22"/>
              </w:rPr>
              <w:t>部重要环境因素：固体废弃物的排放、火灾事故的发生。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控制措施：固废分类存放、垃圾等由</w:t>
            </w:r>
            <w:r>
              <w:rPr>
                <w:rFonts w:hint="eastAsia"/>
                <w:szCs w:val="22"/>
              </w:rPr>
              <w:t>综合部</w:t>
            </w:r>
            <w:r>
              <w:rPr>
                <w:szCs w:val="22"/>
              </w:rPr>
              <w:t>负责按规定处置，包装物分类卖掉，日常培训教育，消防配备有消防器材、应急预案等措施。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/>
          <w:p/>
          <w:p/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/>
              </w:rPr>
              <w:t>运行策划和控制</w:t>
            </w:r>
          </w:p>
        </w:tc>
        <w:tc>
          <w:tcPr>
            <w:tcW w:w="960" w:type="dxa"/>
          </w:tcPr>
          <w:p/>
          <w:p/>
          <w:p/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质量部的实验指标都是物理指标，不需要用到化学试剂等，卷尺、卡尺等用的较多，检验时注意零件轻拿轻放，小心碰伤、砸伤等人身伤害。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检验时发现的不合格品做退货处理。</w:t>
            </w:r>
          </w:p>
          <w:p>
            <w:pPr>
              <w:spacing w:line="360" w:lineRule="auto"/>
              <w:rPr>
                <w:rFonts w:ascii="楷体" w:hAnsi="楷体" w:eastAsia="楷体" w:cs="宋体"/>
                <w:szCs w:val="24"/>
              </w:rPr>
            </w:pPr>
            <w:r>
              <w:rPr>
                <w:rFonts w:hint="eastAsia"/>
                <w:szCs w:val="22"/>
              </w:rPr>
              <w:t>202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8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10</w:t>
            </w:r>
            <w:r>
              <w:rPr>
                <w:rFonts w:hint="eastAsia"/>
                <w:szCs w:val="22"/>
              </w:rPr>
              <w:t>上午质量部人参与了</w:t>
            </w:r>
            <w:r>
              <w:rPr>
                <w:rFonts w:hint="eastAsia"/>
                <w:szCs w:val="22"/>
                <w:lang w:val="en-US" w:eastAsia="zh-CN"/>
              </w:rPr>
              <w:t>总</w:t>
            </w:r>
            <w:r>
              <w:rPr>
                <w:rFonts w:hint="eastAsia"/>
                <w:szCs w:val="22"/>
              </w:rPr>
              <w:t>公司组织的消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防应急预案演练，通过演练学到了应急和救援的知识，基本符合。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237F6"/>
    <w:rsid w:val="0003373A"/>
    <w:rsid w:val="000400E2"/>
    <w:rsid w:val="00062E46"/>
    <w:rsid w:val="001A2D7F"/>
    <w:rsid w:val="001E50C0"/>
    <w:rsid w:val="002939AD"/>
    <w:rsid w:val="002D158C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80636"/>
    <w:rsid w:val="00AF0AAB"/>
    <w:rsid w:val="00B3772D"/>
    <w:rsid w:val="00BF597E"/>
    <w:rsid w:val="00C51A36"/>
    <w:rsid w:val="00C55228"/>
    <w:rsid w:val="00CE315A"/>
    <w:rsid w:val="00D06F59"/>
    <w:rsid w:val="00D8388C"/>
    <w:rsid w:val="00E6224C"/>
    <w:rsid w:val="00EB0164"/>
    <w:rsid w:val="00ED0F62"/>
    <w:rsid w:val="108219C2"/>
    <w:rsid w:val="11D72A72"/>
    <w:rsid w:val="19946297"/>
    <w:rsid w:val="1D33268E"/>
    <w:rsid w:val="2055492B"/>
    <w:rsid w:val="20C4436B"/>
    <w:rsid w:val="213E13A7"/>
    <w:rsid w:val="36C16B87"/>
    <w:rsid w:val="38A86F47"/>
    <w:rsid w:val="38B67EB0"/>
    <w:rsid w:val="3CFF4F49"/>
    <w:rsid w:val="47903E46"/>
    <w:rsid w:val="4F9B108C"/>
    <w:rsid w:val="4FDB0035"/>
    <w:rsid w:val="55E32A7D"/>
    <w:rsid w:val="5EA12B9A"/>
    <w:rsid w:val="62E510BF"/>
    <w:rsid w:val="65427884"/>
    <w:rsid w:val="6F082DD5"/>
    <w:rsid w:val="7551605E"/>
    <w:rsid w:val="79C042F4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871</Characters>
  <Lines>7</Lines>
  <Paragraphs>2</Paragraphs>
  <TotalTime>0</TotalTime>
  <ScaleCrop>false</ScaleCrop>
  <LinksUpToDate>false</LinksUpToDate>
  <CharactersWithSpaces>903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2022-08-23T02:33:32Z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FA9174D551D84186B70A98E9F355C19A</vt:lpwstr>
  </property>
</Properties>
</file>