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34" w:name="_GoBack"/>
      <w:bookmarkEnd w:id="34"/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陕西秦航机械制造有限责任公司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陕西省咸阳市永寿县火车站大街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陕西省咸阳市永寿县火车站大街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任亮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15706045807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0921-2022-E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汽车零部件:平衡轴支架、平衡轴壳类铸件的制造及其场所所涉及的环境管理活动。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22.03.02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2022年08月15日 上午至2022年08月16日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2022.8.14</w:t>
            </w:r>
          </w:p>
        </w:tc>
      </w:tr>
    </w:tbl>
    <w:p>
      <w: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r>
        <w:rPr>
          <w:rFonts w:hint="eastAsia" w:ascii="宋体" w:hAnsi="宋体"/>
          <w:b/>
          <w:bCs/>
          <w:sz w:val="30"/>
          <w:szCs w:val="30"/>
        </w:rPr>
        <w:br w:type="textWrapping"/>
      </w:r>
    </w:p>
    <w:tbl>
      <w:tblPr>
        <w:tblStyle w:val="6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left"/>
              <w:textAlignment w:val="baseline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  <w:t>2022.8.15(12:00-13:00)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:30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:30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4.1、4.2、4.3 、4.4、5.1、5.2、5.3、6.1、6.2、7.1、7.4、9.3、10.1、10.3，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上次不符合整改情况，证书标志使用情况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办公室（含食堂、厂区）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 5.3、7.2、7.3、7.5.1、7.5.2、7.5.3、9.2 、10.2。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EMS:6.1.2、6.1.3、6.2.1、6.2.2、6.1.4、8.1、8.2、9.1、9.1.1、9.1.2，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生产部及车间、废水处理设施、废气处理设施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质量部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采购部（含库房）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2022.8.16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设备科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30～1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2941414"/>
    <w:rsid w:val="03225608"/>
    <w:rsid w:val="0BAE21B6"/>
    <w:rsid w:val="0E6C04C7"/>
    <w:rsid w:val="18EE71B4"/>
    <w:rsid w:val="41F8595E"/>
    <w:rsid w:val="76524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1459</Words>
  <Characters>2170</Characters>
  <Lines>37</Lines>
  <Paragraphs>10</Paragraphs>
  <TotalTime>22</TotalTime>
  <ScaleCrop>false</ScaleCrop>
  <LinksUpToDate>false</LinksUpToDate>
  <CharactersWithSpaces>2233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2022-08-15T01:11:55Z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