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0541-2022-QEO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四川原燧科技有限公司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2022年07月24日 上午至2022年07月24日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四川省成都市新都区川音5巷65号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r>
              <w:rPr>
                <w:b/>
                <w:color w:val="000000"/>
                <w:szCs w:val="21"/>
              </w:rPr>
              <w:t>Q:34.06.00</w:t>
            </w:r>
          </w:p>
          <w:p>
            <w:pPr>
              <w:spacing w:line="240" w:lineRule="exact"/>
              <w:jc w:val="center"/>
              <w:rPr>
                <w:b/>
                <w:color w:val="000000"/>
                <w:szCs w:val="21"/>
              </w:rPr>
            </w:pPr>
            <w:r>
              <w:rPr>
                <w:b/>
                <w:color w:val="000000"/>
                <w:szCs w:val="21"/>
              </w:rPr>
              <w:t>E:34.06.00</w:t>
            </w:r>
          </w:p>
          <w:p>
            <w:pPr>
              <w:spacing w:line="240" w:lineRule="exact"/>
              <w:jc w:val="center"/>
              <w:rPr>
                <w:b/>
                <w:color w:val="000000"/>
                <w:szCs w:val="21"/>
              </w:rPr>
            </w:pPr>
            <w:r>
              <w:rPr>
                <w:b/>
                <w:color w:val="000000"/>
                <w:szCs w:val="21"/>
              </w:rPr>
              <w:t>O:34.06.00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2022-N1QMS-2242345</w:t>
            </w:r>
          </w:p>
          <w:p>
            <w:pPr>
              <w:spacing w:line="240" w:lineRule="exact"/>
              <w:jc w:val="center"/>
              <w:rPr>
                <w:b/>
                <w:color w:val="000000"/>
                <w:szCs w:val="21"/>
              </w:rPr>
            </w:pPr>
            <w:r>
              <w:rPr>
                <w:b/>
                <w:color w:val="000000"/>
                <w:szCs w:val="21"/>
              </w:rPr>
              <w:t>2022-N1EMS-2242345</w:t>
            </w:r>
          </w:p>
        </w:tc>
        <w:tc>
          <w:tcPr>
            <w:tcW w:w="1140" w:type="dxa"/>
            <w:vAlign w:val="center"/>
          </w:tcPr>
          <w:p>
            <w:pPr>
              <w:spacing w:line="240" w:lineRule="exact"/>
              <w:jc w:val="center"/>
              <w:rPr>
                <w:b/>
                <w:color w:val="000000"/>
                <w:szCs w:val="21"/>
              </w:rPr>
            </w:pPr>
            <w:r>
              <w:rPr>
                <w:b/>
                <w:color w:val="000000"/>
                <w:szCs w:val="21"/>
              </w:rPr>
              <w:t>Q:34.06.00</w:t>
            </w:r>
          </w:p>
          <w:p>
            <w:pPr>
              <w:spacing w:line="240" w:lineRule="exact"/>
              <w:jc w:val="center"/>
              <w:rPr>
                <w:b/>
                <w:color w:val="000000"/>
                <w:szCs w:val="21"/>
              </w:rPr>
            </w:pPr>
            <w:r>
              <w:rPr>
                <w:b/>
                <w:color w:val="000000"/>
                <w:szCs w:val="21"/>
              </w:rPr>
              <w:t>E:34.06.00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p>
            <w:pPr>
              <w:spacing w:line="240" w:lineRule="exact"/>
              <w:jc w:val="center"/>
              <w:rPr>
                <w:b/>
                <w:color w:val="000000"/>
                <w:szCs w:val="21"/>
              </w:rPr>
            </w:pPr>
            <w:r>
              <w:rPr>
                <w:b/>
                <w:color w:val="000000"/>
                <w:szCs w:val="21"/>
              </w:rPr>
              <w:t>2021-N1EMS-1265256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四川原燧科技有限公司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成都市新都区新都大道8号西南石油大学科技园逸夫楼6楼610-5号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四川省成都市新都区川音5巷65号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卢晓梅</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18199499266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向勇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何鑫</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石油天然气开采辅助技术服务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b/>
                <w:sz w:val="20"/>
                <w:lang w:val="en-US" w:eastAsia="zh-CN"/>
              </w:rPr>
              <w:t>市场调研→签订协议→交流服务→交付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Q：石油天然气开采辅助技术服务</w:t>
            </w:r>
          </w:p>
        </w:tc>
        <w:tc>
          <w:tcPr>
            <w:tcW w:w="2006" w:type="dxa"/>
            <w:gridSpan w:val="3"/>
            <w:vAlign w:val="center"/>
          </w:tcPr>
          <w:p>
            <w:pPr>
              <w:spacing w:line="400" w:lineRule="exact"/>
              <w:rPr>
                <w:rFonts w:ascii="宋体" w:hAnsi="宋体"/>
                <w:b/>
                <w:color w:val="000000"/>
                <w:szCs w:val="21"/>
              </w:rPr>
            </w:pPr>
            <w:r>
              <w:t>Q：34.06.00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E：石油天然气开采辅助技术服务所涉及场所的相关环境管理活动</w:t>
            </w:r>
          </w:p>
        </w:tc>
        <w:tc>
          <w:tcPr>
            <w:tcW w:w="2006" w:type="dxa"/>
            <w:gridSpan w:val="3"/>
            <w:vAlign w:val="center"/>
          </w:tcPr>
          <w:p>
            <w:pPr>
              <w:spacing w:line="400" w:lineRule="exact"/>
              <w:rPr>
                <w:rFonts w:ascii="宋体" w:hAnsi="宋体"/>
                <w:b/>
                <w:color w:val="000000"/>
                <w:szCs w:val="21"/>
              </w:rPr>
            </w:pPr>
            <w: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O：石油天然气开采辅助技术服务所涉及场所的相关职业健康安全管理活动</w:t>
            </w:r>
          </w:p>
        </w:tc>
        <w:tc>
          <w:tcPr>
            <w:tcW w:w="2006" w:type="dxa"/>
            <w:gridSpan w:val="3"/>
            <w:vAlign w:val="center"/>
          </w:tcPr>
          <w:p>
            <w:pPr>
              <w:spacing w:line="400" w:lineRule="exact"/>
              <w:rPr>
                <w:rFonts w:ascii="宋体" w:hAnsi="宋体"/>
                <w:b/>
                <w:color w:val="000000"/>
                <w:szCs w:val="21"/>
              </w:rPr>
            </w:pPr>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80"/>
        <w:gridCol w:w="1854"/>
        <w:gridCol w:w="571"/>
        <w:gridCol w:w="2675"/>
        <w:gridCol w:w="79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68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5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675"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79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680" w:type="dxa"/>
          </w:tcPr>
          <w:p>
            <w:pPr>
              <w:spacing w:before="40" w:after="40"/>
              <w:rPr>
                <w:rFonts w:eastAsia="黑体"/>
                <w:szCs w:val="21"/>
                <w:lang w:val="de-DE" w:eastAsia="ja-JP"/>
              </w:rPr>
            </w:pPr>
            <w:r>
              <w:rPr>
                <w:sz w:val="21"/>
                <w:szCs w:val="21"/>
              </w:rPr>
              <w:t>成都市新都区新都大道8号西南石油大学科技园逸夫楼6楼610-5号</w:t>
            </w:r>
          </w:p>
        </w:tc>
        <w:tc>
          <w:tcPr>
            <w:tcW w:w="1854" w:type="dxa"/>
          </w:tcPr>
          <w:p>
            <w:pPr>
              <w:spacing w:before="40" w:after="40"/>
              <w:rPr>
                <w:rFonts w:eastAsia="黑体"/>
                <w:szCs w:val="21"/>
                <w:lang w:val="de-DE" w:eastAsia="ja-JP"/>
              </w:rPr>
            </w:pPr>
            <w:r>
              <w:rPr>
                <w:sz w:val="21"/>
                <w:szCs w:val="21"/>
              </w:rPr>
              <w:t>四川省成都市新都区川音5巷65号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675" w:type="dxa"/>
            <w:vAlign w:val="center"/>
          </w:tcPr>
          <w:p>
            <w:pPr>
              <w:rPr>
                <w:rFonts w:eastAsia="黑体" w:cs="Arial"/>
                <w:sz w:val="21"/>
                <w:szCs w:val="21"/>
                <w:lang w:val="en-US" w:eastAsia="ja-JP"/>
              </w:rPr>
            </w:pPr>
            <w:r>
              <w:t>Q：石油天然气开采辅助技术服务</w:t>
            </w:r>
          </w:p>
        </w:tc>
        <w:tc>
          <w:tcPr>
            <w:tcW w:w="797"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680" w:type="dxa"/>
            <w:vAlign w:val="center"/>
          </w:tcPr>
          <w:p>
            <w:pPr>
              <w:spacing w:before="40" w:after="40"/>
              <w:rPr>
                <w:rFonts w:eastAsia="黑体"/>
                <w:szCs w:val="21"/>
                <w:lang w:eastAsia="ja-JP"/>
              </w:rPr>
            </w:pPr>
            <w:r>
              <w:rPr>
                <w:sz w:val="21"/>
                <w:szCs w:val="21"/>
              </w:rPr>
              <w:t>成都市新都区新都大道8号西南石油大学科技园逸夫楼6楼610-5号</w:t>
            </w:r>
          </w:p>
        </w:tc>
        <w:tc>
          <w:tcPr>
            <w:tcW w:w="1854" w:type="dxa"/>
            <w:vAlign w:val="center"/>
          </w:tcPr>
          <w:p>
            <w:pPr>
              <w:spacing w:before="40" w:after="40"/>
              <w:rPr>
                <w:rFonts w:eastAsia="黑体"/>
                <w:szCs w:val="21"/>
                <w:lang w:eastAsia="ja-JP"/>
              </w:rPr>
            </w:pPr>
            <w:r>
              <w:rPr>
                <w:sz w:val="21"/>
                <w:szCs w:val="21"/>
              </w:rPr>
              <w:t>四川省成都市新都区川音5巷65号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675" w:type="dxa"/>
            <w:vAlign w:val="center"/>
          </w:tcPr>
          <w:p>
            <w:pPr>
              <w:spacing w:before="40" w:after="40"/>
              <w:rPr>
                <w:rFonts w:eastAsia="黑体"/>
                <w:szCs w:val="21"/>
                <w:lang w:eastAsia="ja-JP"/>
              </w:rPr>
            </w:pPr>
            <w:r>
              <w:t>E：石油天然气开采辅助技术服务所涉及场所的相关环境管理活动</w:t>
            </w:r>
          </w:p>
        </w:tc>
        <w:tc>
          <w:tcPr>
            <w:tcW w:w="797" w:type="dxa"/>
            <w:vAlign w:val="center"/>
          </w:tcPr>
          <w:p>
            <w:pPr>
              <w:spacing w:before="40" w:after="40"/>
              <w:rPr>
                <w:rFonts w:eastAsia="黑体"/>
                <w:szCs w:val="21"/>
                <w:lang w:eastAsia="ja-JP"/>
              </w:rPr>
            </w:pPr>
            <w:r>
              <w:rPr>
                <w:rFonts w:hint="eastAsia" w:ascii="宋体" w:hAnsi="宋体"/>
                <w:b/>
                <w:sz w:val="21"/>
                <w:szCs w:val="21"/>
              </w:rPr>
              <w:t>GB/T24001-2016</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680" w:type="dxa"/>
            <w:vAlign w:val="center"/>
          </w:tcPr>
          <w:p>
            <w:pPr>
              <w:spacing w:before="40" w:after="40"/>
              <w:rPr>
                <w:rFonts w:eastAsia="黑体"/>
                <w:szCs w:val="21"/>
                <w:lang w:eastAsia="ja-JP"/>
              </w:rPr>
            </w:pPr>
            <w:r>
              <w:rPr>
                <w:sz w:val="21"/>
                <w:szCs w:val="21"/>
              </w:rPr>
              <w:t>成都市新都区新都大道8号西南石油大学科技园逸夫楼6楼610-5号</w:t>
            </w:r>
          </w:p>
        </w:tc>
        <w:tc>
          <w:tcPr>
            <w:tcW w:w="1854" w:type="dxa"/>
            <w:vAlign w:val="center"/>
          </w:tcPr>
          <w:p>
            <w:pPr>
              <w:spacing w:before="40" w:after="40"/>
              <w:rPr>
                <w:rFonts w:eastAsia="黑体"/>
                <w:szCs w:val="21"/>
                <w:lang w:eastAsia="ja-JP"/>
              </w:rPr>
            </w:pPr>
            <w:r>
              <w:rPr>
                <w:sz w:val="21"/>
                <w:szCs w:val="21"/>
              </w:rPr>
              <w:t>四川省成都市新都区川音5巷65号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675" w:type="dxa"/>
            <w:vAlign w:val="center"/>
          </w:tcPr>
          <w:p>
            <w:pPr>
              <w:spacing w:before="40" w:after="40"/>
              <w:rPr>
                <w:rFonts w:eastAsia="黑体"/>
                <w:szCs w:val="21"/>
                <w:lang w:eastAsia="ja-JP"/>
              </w:rPr>
            </w:pPr>
            <w:r>
              <w:t>O：石油天然气开采辅助技术服务所涉及场所的相关职业健康安全管理活动</w:t>
            </w:r>
          </w:p>
        </w:tc>
        <w:tc>
          <w:tcPr>
            <w:tcW w:w="797" w:type="dxa"/>
            <w:vAlign w:val="center"/>
          </w:tcPr>
          <w:p>
            <w:pPr>
              <w:spacing w:before="40" w:after="40"/>
              <w:rPr>
                <w:rFonts w:eastAsia="黑体"/>
                <w:szCs w:val="21"/>
                <w:lang w:eastAsia="ja-JP"/>
              </w:rPr>
            </w:pPr>
            <w:r>
              <w:rPr>
                <w:rFonts w:hint="eastAsia" w:ascii="宋体" w:hAnsi="宋体"/>
                <w:b/>
                <w:sz w:val="21"/>
                <w:szCs w:val="21"/>
              </w:rPr>
              <w:t>GB/T 45001-2020</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680" w:type="dxa"/>
            <w:vAlign w:val="center"/>
          </w:tcPr>
          <w:p>
            <w:pPr>
              <w:spacing w:before="40" w:after="40"/>
              <w:rPr>
                <w:rFonts w:eastAsia="黑体"/>
                <w:szCs w:val="21"/>
                <w:lang w:eastAsia="ja-JP"/>
              </w:rPr>
            </w:pPr>
          </w:p>
        </w:tc>
        <w:tc>
          <w:tcPr>
            <w:tcW w:w="1854"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675" w:type="dxa"/>
            <w:vAlign w:val="center"/>
          </w:tcPr>
          <w:p>
            <w:pPr>
              <w:spacing w:before="40" w:after="40"/>
              <w:rPr>
                <w:rFonts w:eastAsia="黑体"/>
                <w:szCs w:val="21"/>
                <w:lang w:eastAsia="ja-JP"/>
              </w:rPr>
            </w:pPr>
          </w:p>
        </w:tc>
        <w:tc>
          <w:tcPr>
            <w:tcW w:w="797"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680" w:type="dxa"/>
            <w:vAlign w:val="center"/>
          </w:tcPr>
          <w:p>
            <w:pPr>
              <w:spacing w:before="40" w:after="40"/>
              <w:rPr>
                <w:rFonts w:eastAsia="黑体"/>
                <w:szCs w:val="21"/>
                <w:lang w:eastAsia="ja-JP"/>
              </w:rPr>
            </w:pPr>
          </w:p>
        </w:tc>
        <w:tc>
          <w:tcPr>
            <w:tcW w:w="1854"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675" w:type="dxa"/>
            <w:vAlign w:val="center"/>
          </w:tcPr>
          <w:p>
            <w:pPr>
              <w:spacing w:before="40" w:after="40"/>
              <w:rPr>
                <w:rFonts w:eastAsia="黑体"/>
                <w:szCs w:val="21"/>
                <w:lang w:eastAsia="ja-JP"/>
              </w:rPr>
            </w:pPr>
          </w:p>
        </w:tc>
        <w:tc>
          <w:tcPr>
            <w:tcW w:w="797"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 6月23日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eastAsia="zh-CN"/>
              </w:rPr>
              <w:t>：</w:t>
            </w:r>
            <w:r>
              <w:rPr>
                <w:rFonts w:hint="eastAsia" w:ascii="宋体" w:hAnsi="宋体"/>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技术服务过程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技术服务过程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hint="eastAsia"/>
                <w:b/>
                <w:bCs/>
                <w:sz w:val="28"/>
                <w:szCs w:val="28"/>
                <w:lang w:val="en-US" w:eastAsia="zh-CN"/>
              </w:rPr>
            </w:pPr>
            <w:r>
              <w:rPr>
                <w:rFonts w:hint="eastAsia" w:ascii="宋体" w:hAnsi="宋体"/>
                <w:color w:val="000000"/>
                <w:spacing w:val="-10"/>
                <w:szCs w:val="21"/>
              </w:rPr>
              <w:t>生产/服务质量控制情况</w:t>
            </w:r>
          </w:p>
          <w:p>
            <w:pPr>
              <w:rPr>
                <w:rFonts w:ascii="宋体"/>
                <w:color w:val="000000"/>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highlight w:val="none"/>
              </w:rPr>
            </w:pPr>
            <w:r>
              <w:rPr>
                <w:rFonts w:hint="eastAsia" w:ascii="宋体"/>
                <w:color w:val="000000"/>
                <w:szCs w:val="21"/>
                <w:highlight w:val="none"/>
              </w:rPr>
              <w:t xml:space="preserve">是否按法规办理了《排污许可证》                    </w:t>
            </w:r>
          </w:p>
        </w:tc>
        <w:tc>
          <w:tcPr>
            <w:tcW w:w="2443" w:type="dxa"/>
            <w:gridSpan w:val="2"/>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highlight w:val="none"/>
              </w:rPr>
            </w:pPr>
            <w:r>
              <w:rPr>
                <w:rFonts w:hint="eastAsia" w:ascii="宋体"/>
                <w:color w:val="000000"/>
                <w:szCs w:val="21"/>
                <w:highlight w:val="none"/>
              </w:rPr>
              <w:t xml:space="preserve">是否提供近期环境监测报告                  </w:t>
            </w:r>
          </w:p>
        </w:tc>
        <w:tc>
          <w:tcPr>
            <w:tcW w:w="2443" w:type="dxa"/>
            <w:gridSpan w:val="2"/>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highlight w:val="yellow"/>
              </w:rPr>
            </w:pPr>
            <w:r>
              <w:rPr>
                <w:rFonts w:hint="eastAsia" w:ascii="宋体" w:hAnsi="宋体"/>
                <w:color w:val="000000"/>
                <w:szCs w:val="21"/>
                <w:highlight w:val="yellow"/>
              </w:rPr>
              <w:t xml:space="preserve">（7）对特种设备是否按法规要求检测和备案且完好运行 </w:t>
            </w:r>
          </w:p>
        </w:tc>
        <w:tc>
          <w:tcPr>
            <w:tcW w:w="1003" w:type="dxa"/>
            <w:shd w:val="clear" w:color="auto" w:fill="FFFF00"/>
          </w:tcPr>
          <w:p>
            <w:pPr>
              <w:rPr>
                <w:rFonts w:ascii="宋体"/>
                <w:color w:val="000000"/>
                <w:spacing w:val="-10"/>
                <w:szCs w:val="21"/>
                <w:highlight w:val="yellow"/>
              </w:rPr>
            </w:pPr>
            <w:r>
              <w:rPr>
                <w:rFonts w:hint="eastAsia" w:ascii="宋体" w:hAnsi="宋体"/>
                <w:color w:val="000000"/>
                <w:spacing w:val="-10"/>
                <w:szCs w:val="21"/>
                <w:highlight w:val="yellow"/>
                <w:lang w:eastAsia="zh-CN"/>
              </w:rPr>
              <w:t>□</w:t>
            </w:r>
            <w:r>
              <w:rPr>
                <w:rFonts w:hint="eastAsia" w:ascii="宋体" w:hAnsi="宋体"/>
                <w:color w:val="000000"/>
                <w:szCs w:val="21"/>
                <w:highlight w:val="yellow"/>
              </w:rPr>
              <w:t>是</w:t>
            </w:r>
          </w:p>
        </w:tc>
        <w:tc>
          <w:tcPr>
            <w:tcW w:w="1790" w:type="dxa"/>
            <w:shd w:val="clear" w:color="auto" w:fill="FFFF00"/>
          </w:tcPr>
          <w:p>
            <w:pPr>
              <w:rPr>
                <w:rFonts w:ascii="宋体"/>
                <w:color w:val="000000"/>
                <w:spacing w:val="-10"/>
                <w:szCs w:val="21"/>
                <w:highlight w:val="yellow"/>
              </w:rPr>
            </w:pPr>
            <w:r>
              <w:rPr>
                <w:rFonts w:hint="eastAsia" w:ascii="宋体" w:hAnsi="宋体"/>
                <w:color w:val="000000"/>
                <w:szCs w:val="21"/>
                <w:highlight w:val="yellow"/>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7</w:t>
            </w:r>
            <w:r>
              <w:rPr>
                <w:rFonts w:hint="eastAsia" w:ascii="宋体"/>
                <w:b/>
                <w:color w:val="000000"/>
                <w:szCs w:val="21"/>
                <w:u w:val="single"/>
              </w:rPr>
              <w:t>-</w:t>
            </w:r>
            <w:bookmarkEnd w:id="35"/>
            <w:r>
              <w:rPr>
                <w:rFonts w:hint="eastAsia" w:ascii="宋体"/>
                <w:b/>
                <w:color w:val="000000"/>
                <w:szCs w:val="21"/>
                <w:u w:val="single"/>
                <w:lang w:val="en-US" w:eastAsia="zh-CN"/>
              </w:rPr>
              <w:t>25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 w:val="22"/>
          <w:szCs w:val="22"/>
        </w:rPr>
        <w:drawing>
          <wp:anchor distT="0" distB="0" distL="114300" distR="114300" simplePos="0" relativeHeight="251666432" behindDoc="0" locked="0" layoutInCell="1" allowOverlap="1">
            <wp:simplePos x="0" y="0"/>
            <wp:positionH relativeFrom="column">
              <wp:posOffset>5056505</wp:posOffset>
            </wp:positionH>
            <wp:positionV relativeFrom="paragraph">
              <wp:posOffset>322580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a:stretch>
                      <a:fillRect/>
                    </a:stretch>
                  </pic:blipFill>
                  <pic:spPr>
                    <a:xfrm>
                      <a:off x="0" y="0"/>
                      <a:ext cx="516255" cy="338455"/>
                    </a:xfrm>
                    <a:prstGeom prst="rect">
                      <a:avLst/>
                    </a:prstGeom>
                  </pic:spPr>
                </pic:pic>
              </a:graphicData>
            </a:graphic>
          </wp:anchor>
        </w:drawing>
      </w:r>
      <w:r>
        <w:rPr>
          <w:rFonts w:hint="eastAsia" w:eastAsia="宋体"/>
          <w:lang w:eastAsia="zh-CN"/>
        </w:rPr>
        <w:drawing>
          <wp:anchor distT="0" distB="0" distL="114300" distR="114300" simplePos="0" relativeHeight="251665408" behindDoc="0" locked="0" layoutInCell="1" allowOverlap="1">
            <wp:simplePos x="0" y="0"/>
            <wp:positionH relativeFrom="column">
              <wp:posOffset>4334510</wp:posOffset>
            </wp:positionH>
            <wp:positionV relativeFrom="paragraph">
              <wp:posOffset>347980</wp:posOffset>
            </wp:positionV>
            <wp:extent cx="622935" cy="330835"/>
            <wp:effectExtent l="0" t="0" r="12065" b="12065"/>
            <wp:wrapNone/>
            <wp:docPr id="35" name="图片 35" descr="165760547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657605476391"/>
                    <pic:cNvPicPr>
                      <a:picLocks noChangeAspect="1"/>
                    </pic:cNvPicPr>
                  </pic:nvPicPr>
                  <pic:blipFill>
                    <a:blip r:embed="rId7"/>
                    <a:stretch>
                      <a:fillRect/>
                    </a:stretch>
                  </pic:blipFill>
                  <pic:spPr>
                    <a:xfrm>
                      <a:off x="0" y="0"/>
                      <a:ext cx="622935" cy="33083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1893570</wp:posOffset>
            </wp:positionH>
            <wp:positionV relativeFrom="paragraph">
              <wp:posOffset>362585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ascii="宋体" w:hAnsi="宋体"/>
          <w:b/>
          <w:color w:val="000000"/>
          <w:szCs w:val="21"/>
          <w:lang w:val="en-US" w:eastAsia="zh-CN"/>
        </w:rPr>
        <w:t>2022年 7月24日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bookmarkStart w:id="36" w:name="_GoBack"/>
      <w:bookmarkEnd w:id="36"/>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hint="eastAsia" w:ascii="宋体" w:hAns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pacing w:line="360" w:lineRule="exact"/>
        <w:ind w:left="283" w:leftChars="135" w:firstLine="226" w:firstLineChars="108"/>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699770</wp:posOffset>
                  </wp:positionH>
                  <wp:positionV relativeFrom="paragraph">
                    <wp:posOffset>7620</wp:posOffset>
                  </wp:positionV>
                  <wp:extent cx="812165" cy="275590"/>
                  <wp:effectExtent l="0" t="0" r="635" b="3810"/>
                  <wp:wrapNone/>
                  <wp:docPr id="2" name="图片 2"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 7月24日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 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I4MWU3MDczOTkxMDk2MzJiODM1NDdkNjA1ZDJkNjkifQ=="/>
  </w:docVars>
  <w:rsids>
    <w:rsidRoot w:val="00000000"/>
    <w:rsid w:val="597B22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7586</Words>
  <Characters>8382</Characters>
  <Lines>67</Lines>
  <Paragraphs>18</Paragraphs>
  <TotalTime>1</TotalTime>
  <ScaleCrop>false</ScaleCrop>
  <LinksUpToDate>false</LinksUpToDate>
  <CharactersWithSpaces>8447</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2022-07-28T03:05:28Z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2052-11.1.0.11753</vt:lpwstr>
  </property>
</Properties>
</file>