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长沙肯贝科技有限公司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0094-2018-2022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0094-2018-2022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长沙肯贝科技有限公司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李觉辉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ISC-2018-0284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证书有效期"/>
            <w:r>
              <w:rPr>
                <w:rFonts w:cs="宋体" w:asciiTheme="minorEastAsia" w:hAnsiTheme="minorEastAsia"/>
                <w:kern w:val="0"/>
                <w:szCs w:val="21"/>
              </w:rPr>
              <w:t xml:space="preserve">2023-07-30 </w:t>
            </w:r>
            <w:bookmarkEnd w:id="7"/>
            <w:r>
              <w:rPr>
                <w:rFonts w:hint="eastAsia" w:cs="宋体" w:asciiTheme="minorEastAsia" w:hAnsiTheme="minorEastAsia"/>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2022年07月23日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李俐</w:t>
            </w:r>
          </w:p>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lang w:val="en-US" w:eastAsia="zh-CN"/>
              </w:rPr>
              <w:t>质量部、综合部、生产部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2.内部审核和管理评审的情况：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日组织了公司测量管理体系，内审分</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个组，对公司</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个部门进行了全要素的审核，共开出了</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不符合项，于</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日完成整改。</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日开展了单体系管理评审，会议由公司总经理</w:t>
      </w:r>
      <w:r>
        <w:rPr>
          <w:rFonts w:hint="eastAsia" w:cs="宋体" w:asciiTheme="minorEastAsia" w:hAnsiTheme="minorEastAsia"/>
          <w:bCs/>
          <w:kern w:val="0"/>
          <w:szCs w:val="21"/>
          <w:lang w:val="en-US" w:eastAsia="zh-CN"/>
        </w:rPr>
        <w:t>陶刚</w:t>
      </w:r>
      <w:r>
        <w:rPr>
          <w:rFonts w:hint="eastAsia" w:cs="宋体" w:asciiTheme="minorEastAsia" w:hAnsiTheme="minorEastAsia"/>
          <w:bCs/>
          <w:kern w:val="0"/>
          <w:szCs w:val="21"/>
        </w:rPr>
        <w:t>主持，由管理者代表</w:t>
      </w:r>
      <w:r>
        <w:rPr>
          <w:rFonts w:hint="eastAsia" w:cs="宋体" w:asciiTheme="minorEastAsia" w:hAnsiTheme="minorEastAsia"/>
          <w:bCs/>
          <w:kern w:val="0"/>
          <w:szCs w:val="21"/>
          <w:lang w:val="en-US" w:eastAsia="zh-CN"/>
        </w:rPr>
        <w:t>李觉辉</w:t>
      </w:r>
      <w:r>
        <w:rPr>
          <w:rFonts w:hint="eastAsia" w:cs="宋体" w:asciiTheme="minorEastAsia" w:hAnsiTheme="minorEastAsia"/>
          <w:bCs/>
          <w:kern w:val="0"/>
          <w:szCs w:val="21"/>
        </w:rPr>
        <w:t>汇报了体系运行情况。会议肯定了公司测量管理体系的充分性、有效性和适宜性。形成了管理评审报告，对公司测量管理体系目前存在的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个方面的问题落实了整改部门。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3.为持续改进而策划的活动的进展企业对识别的关键测量过程进行了持续的控制</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没有</w:t>
      </w:r>
      <w:r>
        <w:rPr>
          <w:rFonts w:hint="eastAsia" w:cs="宋体" w:asciiTheme="minorEastAsia" w:hAnsiTheme="minorEastAsia"/>
          <w:bCs/>
          <w:kern w:val="0"/>
          <w:szCs w:val="21"/>
        </w:rPr>
        <w:t>新增关键测量过程：</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a)计量要求的导出和验证：查</w:t>
      </w:r>
      <w:r>
        <w:rPr>
          <w:rFonts w:hint="eastAsia" w:cs="宋体" w:asciiTheme="minorEastAsia" w:hAnsiTheme="minorEastAsia"/>
          <w:bCs/>
          <w:kern w:val="0"/>
          <w:szCs w:val="21"/>
          <w:lang w:val="en-US" w:eastAsia="zh-CN"/>
        </w:rPr>
        <w:t>管材外径测量过程</w:t>
      </w:r>
      <w:r>
        <w:rPr>
          <w:rFonts w:hint="eastAsia" w:cs="宋体" w:asciiTheme="minorEastAsia" w:hAnsiTheme="minorEastAsia"/>
          <w:bCs/>
          <w:kern w:val="0"/>
          <w:szCs w:val="21"/>
        </w:rPr>
        <w:t>计量测量过程，计量要求导出方法正确，验证满足测量过程要求。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附件《计量要求导出及验证记录表》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b)测量不确定评定：查</w:t>
      </w:r>
      <w:r>
        <w:rPr>
          <w:rFonts w:hint="eastAsia" w:cs="宋体" w:asciiTheme="minorEastAsia" w:hAnsiTheme="minorEastAsia"/>
          <w:bCs/>
          <w:kern w:val="0"/>
          <w:szCs w:val="21"/>
          <w:lang w:val="en-US" w:eastAsia="zh-CN"/>
        </w:rPr>
        <w:t>管材外径测量过程</w:t>
      </w:r>
      <w:r>
        <w:rPr>
          <w:rFonts w:hint="eastAsia" w:cs="宋体" w:asciiTheme="minorEastAsia" w:hAnsiTheme="minorEastAsia"/>
          <w:bCs/>
          <w:kern w:val="0"/>
          <w:szCs w:val="21"/>
        </w:rPr>
        <w:t>计量测量过程，测量不确定度评定正确。</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附件《测量不确定度评定》</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c)有效性确认：查</w:t>
      </w:r>
      <w:r>
        <w:rPr>
          <w:rFonts w:hint="eastAsia" w:cs="宋体" w:asciiTheme="minorEastAsia" w:hAnsiTheme="minorEastAsia"/>
          <w:bCs/>
          <w:kern w:val="0"/>
          <w:szCs w:val="21"/>
          <w:lang w:val="en-US" w:eastAsia="zh-CN"/>
        </w:rPr>
        <w:t>管材外径测量过程</w:t>
      </w:r>
      <w:r>
        <w:rPr>
          <w:rFonts w:hint="eastAsia" w:cs="宋体" w:asciiTheme="minorEastAsia" w:hAnsiTheme="minorEastAsia"/>
          <w:bCs/>
          <w:kern w:val="0"/>
          <w:szCs w:val="21"/>
        </w:rPr>
        <w:t>计量测量过程，采用</w:t>
      </w:r>
      <w:r>
        <w:rPr>
          <w:rFonts w:hint="eastAsia" w:cs="宋体" w:asciiTheme="minorEastAsia" w:hAnsiTheme="minorEastAsia"/>
          <w:bCs/>
          <w:kern w:val="0"/>
          <w:szCs w:val="21"/>
          <w:lang w:val="en-US" w:eastAsia="zh-CN"/>
        </w:rPr>
        <w:t>标准钢棒重复测量</w:t>
      </w:r>
      <w:r>
        <w:rPr>
          <w:rFonts w:hint="eastAsia" w:cs="宋体" w:asciiTheme="minorEastAsia" w:hAnsiTheme="minorEastAsia"/>
          <w:bCs/>
          <w:kern w:val="0"/>
          <w:szCs w:val="21"/>
        </w:rPr>
        <w:t>进行有效性确认，满足要求。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附件《测量过程有效性确认》</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d)测量过程的控制：查</w:t>
      </w:r>
      <w:r>
        <w:rPr>
          <w:rFonts w:hint="eastAsia" w:cs="宋体" w:asciiTheme="minorEastAsia" w:hAnsiTheme="minorEastAsia"/>
          <w:bCs/>
          <w:kern w:val="0"/>
          <w:szCs w:val="21"/>
          <w:lang w:val="en-US" w:eastAsia="zh-CN"/>
        </w:rPr>
        <w:t>管材外径测量过程</w:t>
      </w:r>
      <w:r>
        <w:rPr>
          <w:rFonts w:hint="eastAsia" w:cs="宋体" w:asciiTheme="minorEastAsia" w:hAnsiTheme="minorEastAsia"/>
          <w:bCs/>
          <w:kern w:val="0"/>
          <w:szCs w:val="21"/>
        </w:rPr>
        <w:t>计量测量过程，编制了控制规范，对测量人员、测量设备、测量环境进行控制，满足要求。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e)测量过程的监视：查</w:t>
      </w:r>
      <w:r>
        <w:rPr>
          <w:rFonts w:hint="eastAsia" w:cs="宋体" w:asciiTheme="minorEastAsia" w:hAnsiTheme="minorEastAsia"/>
          <w:bCs/>
          <w:kern w:val="0"/>
          <w:szCs w:val="21"/>
          <w:lang w:val="en-US" w:eastAsia="zh-CN"/>
        </w:rPr>
        <w:t>管材外径测量过程</w:t>
      </w:r>
      <w:r>
        <w:rPr>
          <w:rFonts w:hint="eastAsia" w:cs="宋体" w:asciiTheme="minorEastAsia" w:hAnsiTheme="minorEastAsia"/>
          <w:bCs/>
          <w:kern w:val="0"/>
          <w:szCs w:val="21"/>
        </w:rPr>
        <w:t>计量测量过程，采用统计技术进行控制和监视测量过程。</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《测量过程监视记录》</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CN"/>
        </w:rPr>
        <w:t>没有建立</w:t>
      </w:r>
      <w:r>
        <w:rPr>
          <w:rFonts w:hint="eastAsia" w:cs="宋体" w:asciiTheme="minorEastAsia" w:hAnsiTheme="minorEastAsia"/>
          <w:bCs/>
          <w:kern w:val="0"/>
          <w:szCs w:val="21"/>
        </w:rPr>
        <w:t>最高</w:t>
      </w:r>
      <w:r>
        <w:rPr>
          <w:rFonts w:hint="eastAsia" w:cs="宋体" w:asciiTheme="minorEastAsia" w:hAnsiTheme="minorEastAsia"/>
          <w:bCs/>
          <w:kern w:val="0"/>
          <w:szCs w:val="21"/>
          <w:lang w:val="en-US" w:eastAsia="zh-CN"/>
        </w:rPr>
        <w:t>计量</w:t>
      </w:r>
      <w:r>
        <w:rPr>
          <w:rFonts w:hint="eastAsia" w:cs="宋体" w:asciiTheme="minorEastAsia" w:hAnsiTheme="minorEastAsia"/>
          <w:bCs/>
          <w:kern w:val="0"/>
          <w:szCs w:val="21"/>
        </w:rPr>
        <w:t>标准，企业测量设备</w:t>
      </w:r>
      <w:r>
        <w:rPr>
          <w:rFonts w:hint="eastAsia" w:cs="宋体" w:asciiTheme="minorEastAsia" w:hAnsiTheme="minorEastAsia"/>
          <w:bCs/>
          <w:kern w:val="0"/>
          <w:szCs w:val="21"/>
          <w:lang w:val="en-US" w:eastAsia="zh-CN"/>
        </w:rPr>
        <w:t>委托湖南航测检测技术服务有限公司</w:t>
      </w:r>
      <w:r>
        <w:rPr>
          <w:rFonts w:hint="eastAsia" w:cs="宋体" w:asciiTheme="minorEastAsia" w:hAnsiTheme="minorEastAsia"/>
          <w:bCs/>
          <w:kern w:val="0"/>
          <w:szCs w:val="21"/>
        </w:rPr>
        <w:t>检定/校准。抽查</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台测量设备检定/校准证书，溯源满足要求。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《测量设备溯源检查表》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4.能源管理情况：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w:t>
      </w:r>
      <w:r>
        <w:rPr>
          <w:rFonts w:hint="eastAsia" w:cs="宋体" w:asciiTheme="minorEastAsia" w:hAnsiTheme="minorEastAsia"/>
          <w:bCs/>
          <w:kern w:val="0"/>
          <w:szCs w:val="21"/>
          <w:lang w:val="en-US" w:eastAsia="zh-CN"/>
        </w:rPr>
        <w:t>21-2022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度</w:t>
      </w:r>
      <w:r>
        <w:rPr>
          <w:rFonts w:hint="eastAsia" w:cs="宋体" w:asciiTheme="minorEastAsia" w:hAnsiTheme="minorEastAsia"/>
          <w:bCs/>
          <w:kern w:val="0"/>
          <w:szCs w:val="21"/>
        </w:rPr>
        <w:t>耗能</w:t>
      </w:r>
      <w:r>
        <w:rPr>
          <w:rFonts w:hint="eastAsia" w:cs="宋体" w:asciiTheme="minorEastAsia" w:hAnsiTheme="minorEastAsia"/>
          <w:bCs/>
          <w:kern w:val="0"/>
          <w:szCs w:val="21"/>
          <w:lang w:val="en-US" w:eastAsia="zh-CN"/>
        </w:rPr>
        <w:t>47</w:t>
      </w:r>
      <w:r>
        <w:rPr>
          <w:rFonts w:hint="eastAsia" w:cs="宋体" w:asciiTheme="minorEastAsia" w:hAnsiTheme="minorEastAsia"/>
          <w:bCs/>
          <w:kern w:val="0"/>
          <w:szCs w:val="21"/>
        </w:rPr>
        <w:t>吨标准煤。</w:t>
      </w:r>
      <w:r>
        <w:rPr>
          <w:rFonts w:hint="eastAsia" w:cs="宋体" w:asciiTheme="minorEastAsia" w:hAnsiTheme="minorEastAsia"/>
          <w:bCs/>
          <w:kern w:val="0"/>
          <w:szCs w:val="21"/>
          <w:lang w:val="en-US" w:eastAsia="zh-CN"/>
        </w:rPr>
        <w:t>不是</w:t>
      </w:r>
      <w:r>
        <w:rPr>
          <w:rFonts w:hint="eastAsia" w:cs="宋体" w:asciiTheme="minorEastAsia" w:hAnsiTheme="minorEastAsia"/>
          <w:bCs/>
          <w:kern w:val="0"/>
          <w:szCs w:val="21"/>
        </w:rPr>
        <w:t>重点耗能单位，能源计量管理满足GB17167要求。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 </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年外审</w:t>
      </w:r>
      <w:r>
        <w:rPr>
          <w:rFonts w:hint="eastAsia" w:cs="宋体" w:asciiTheme="minorEastAsia" w:hAnsiTheme="minorEastAsia"/>
          <w:bCs/>
          <w:kern w:val="0"/>
          <w:szCs w:val="21"/>
          <w:lang w:val="en-US" w:eastAsia="zh-CN"/>
        </w:rPr>
        <w:t>没有开出</w:t>
      </w:r>
      <w:r>
        <w:rPr>
          <w:rFonts w:hint="eastAsia" w:cs="宋体" w:asciiTheme="minorEastAsia" w:hAnsiTheme="minorEastAsia"/>
          <w:bCs/>
          <w:kern w:val="0"/>
          <w:szCs w:val="21"/>
        </w:rPr>
        <w:t>不符合项报告</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对投诉的处理情况：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度</w:t>
      </w:r>
      <w:r>
        <w:rPr>
          <w:rFonts w:hint="eastAsia" w:cs="宋体" w:asciiTheme="minorEastAsia" w:hAnsiTheme="minorEastAsia"/>
          <w:bCs/>
          <w:kern w:val="0"/>
          <w:szCs w:val="21"/>
        </w:rPr>
        <w:t>未有顾客的投诉。企业未有违反法律、法规问题和产品质量问题的投诉或重大质量事故发生。</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测量管理体系在实现获证客户目标方面的有效性及持续的运作控制情况：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公司制定了</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项质量目标，对目标进行了分解，查20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月到</w:t>
      </w:r>
      <w:r>
        <w:rPr>
          <w:rFonts w:hint="eastAsia" w:cs="宋体" w:asciiTheme="minorEastAsia" w:hAnsiTheme="minorEastAsia"/>
          <w:bCs/>
          <w:kern w:val="0"/>
          <w:szCs w:val="21"/>
          <w:lang w:val="en-US" w:eastAsia="zh-CN"/>
        </w:rPr>
        <w:t>2022年6</w:t>
      </w:r>
      <w:r>
        <w:rPr>
          <w:rFonts w:hint="eastAsia" w:cs="宋体" w:asciiTheme="minorEastAsia" w:hAnsiTheme="minorEastAsia"/>
          <w:bCs/>
          <w:kern w:val="0"/>
          <w:szCs w:val="21"/>
        </w:rPr>
        <w:t>月质量目标完成情况检查表，按目标、措施、完成情况、未完成情况进行统计，记录内容全，每月统计，质量目标管理满足要求。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企业营业执照和组织机构未发生变化。</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标志的使用和（或）任何其他对认证资格引用的情况：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 xml:space="preserve"> </w:t>
      </w:r>
      <w:r>
        <w:rPr>
          <w:rFonts w:hint="eastAsia" w:cs="宋体" w:asciiTheme="minorEastAsia" w:hAnsiTheme="minorEastAsia"/>
          <w:bCs/>
          <w:kern w:val="0"/>
          <w:szCs w:val="21"/>
          <w:lang w:val="en-US" w:eastAsia="zh-CN"/>
        </w:rPr>
        <w:t xml:space="preserve"> </w:t>
      </w:r>
      <w:r>
        <w:rPr>
          <w:rFonts w:hint="eastAsia" w:cs="宋体" w:asciiTheme="minorEastAsia" w:hAnsiTheme="minorEastAsia"/>
          <w:bCs/>
          <w:kern w:val="0"/>
          <w:szCs w:val="21"/>
        </w:rPr>
        <w:t>用于企业的形象宣传。</w:t>
      </w:r>
    </w:p>
    <w:p>
      <w:pPr>
        <w:widowControl/>
        <w:spacing w:line="360" w:lineRule="auto"/>
        <w:rPr>
          <w:rFonts w:hint="eastAsia" w:cs="宋体" w:asciiTheme="minorEastAsia" w:hAnsiTheme="minorEastAsia"/>
          <w:bCs/>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w:t>
      </w:r>
      <w:r>
        <w:rPr>
          <w:rFonts w:hint="eastAsia" w:ascii="宋体" w:hAnsi="宋体" w:eastAsia="宋体" w:cs="宋体"/>
          <w:color w:val="000000" w:themeColor="text1"/>
          <w:kern w:val="0"/>
          <w:szCs w:val="21"/>
        </w:rPr>
        <w:t>出具一般不符合</w:t>
      </w:r>
      <w:r>
        <w:rPr>
          <w:rFonts w:hint="eastAsia" w:ascii="宋体" w:hAnsi="宋体" w:eastAsia="宋体" w:cs="宋体"/>
          <w:color w:val="000000" w:themeColor="text1"/>
          <w:kern w:val="0"/>
          <w:szCs w:val="21"/>
          <w:lang w:val="en-US" w:eastAsia="zh-CN"/>
        </w:rPr>
        <w:t>，</w:t>
      </w:r>
      <w:r>
        <w:rPr>
          <w:rFonts w:hint="eastAsia" w:ascii="宋体" w:hAnsi="宋体" w:eastAsia="宋体" w:cs="宋体"/>
          <w:color w:val="000000" w:themeColor="text1"/>
          <w:kern w:val="0"/>
          <w:szCs w:val="21"/>
        </w:rPr>
        <w:t>未发现严重的或系统性的不符合情况：</w:t>
      </w:r>
    </w:p>
    <w:p>
      <w:pPr>
        <w:widowControl/>
        <w:numPr>
          <w:ilvl w:val="0"/>
          <w:numId w:val="0"/>
        </w:numPr>
        <w:spacing w:line="360" w:lineRule="auto"/>
        <w:ind w:leftChars="0"/>
        <w:rPr>
          <w:rFonts w:hint="eastAsia" w:ascii="宋体" w:hAnsi="宋体"/>
          <w:color w:val="000000"/>
          <w:szCs w:val="21"/>
          <w:lang w:val="en-US" w:eastAsia="zh-CN"/>
        </w:rPr>
      </w:pPr>
      <w:r>
        <w:rPr>
          <w:rFonts w:hint="eastAsia" w:ascii="宋体" w:hAnsi="宋体"/>
          <w:color w:val="000000"/>
          <w:szCs w:val="21"/>
          <w:lang w:val="en-US" w:eastAsia="zh-CN"/>
        </w:rPr>
        <w:t>11.</w:t>
      </w:r>
      <w:r>
        <w:rPr>
          <w:rFonts w:hint="eastAsia" w:ascii="宋体" w:hAnsi="宋体"/>
          <w:color w:val="000000"/>
          <w:szCs w:val="21"/>
        </w:rPr>
        <w:t>产品的销售</w:t>
      </w:r>
      <w:r>
        <w:rPr>
          <w:rFonts w:hint="eastAsia" w:ascii="宋体" w:hAnsi="宋体"/>
          <w:color w:val="000000"/>
          <w:szCs w:val="21"/>
          <w:lang w:val="en-US" w:eastAsia="zh-CN"/>
        </w:rPr>
        <w:t>的方面：</w:t>
      </w:r>
    </w:p>
    <w:p>
      <w:pPr>
        <w:widowControl/>
        <w:spacing w:line="360" w:lineRule="auto"/>
        <w:ind w:firstLine="420" w:firstLineChars="200"/>
        <w:rPr>
          <w:rFonts w:hint="eastAsia" w:cs="宋体" w:asciiTheme="minorEastAsia" w:hAnsiTheme="minorEastAsia"/>
          <w:bCs/>
          <w:kern w:val="0"/>
          <w:szCs w:val="21"/>
        </w:rPr>
      </w:pPr>
      <w:r>
        <w:rPr>
          <w:rFonts w:hint="eastAsia" w:ascii="宋体" w:hAnsi="宋体"/>
          <w:szCs w:val="21"/>
        </w:rPr>
        <w:t>抽查：</w:t>
      </w:r>
      <w:r>
        <w:rPr>
          <w:rFonts w:hint="eastAsia" w:ascii="宋体" w:hAnsi="宋体"/>
          <w:szCs w:val="21"/>
          <w:lang w:val="en-US" w:eastAsia="zh-CN"/>
        </w:rPr>
        <w:t>与哈尔滨龙祥供排水工程有限公司签订的销售</w:t>
      </w:r>
      <w:r>
        <w:rPr>
          <w:rFonts w:hint="eastAsia" w:ascii="宋体" w:hAnsi="宋体"/>
          <w:szCs w:val="21"/>
        </w:rPr>
        <w:t>合同，签订时间2021年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日，合同</w:t>
      </w:r>
      <w:r>
        <w:rPr>
          <w:rFonts w:hint="eastAsia" w:ascii="宋体" w:hAnsi="宋体"/>
          <w:szCs w:val="21"/>
          <w:lang w:val="en-US" w:eastAsia="zh-CN"/>
        </w:rPr>
        <w:t>号2021030001</w:t>
      </w:r>
      <w:r>
        <w:rPr>
          <w:rFonts w:hint="eastAsia" w:ascii="宋体" w:hAnsi="宋体"/>
          <w:szCs w:val="21"/>
        </w:rPr>
        <w:t>合同内对质量要求、技术标准、包装要求等做了详细说明，即公司供应的产品保证符合国家标准、企业标准；对验收标准、方法及异议处理做了详细描述；合同内也对销售产品的售后服务做了承诺。</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三、监督审核结论意见(含需要说明的事项):</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通过20</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23</w:t>
      </w:r>
      <w:r>
        <w:rPr>
          <w:rFonts w:hint="eastAsia" w:cs="宋体" w:asciiTheme="minorEastAsia" w:hAnsiTheme="minorEastAsia"/>
          <w:bCs/>
          <w:kern w:val="0"/>
          <w:szCs w:val="21"/>
        </w:rPr>
        <w:t>日，对长沙肯贝科技有限公司</w:t>
      </w:r>
      <w:r>
        <w:rPr>
          <w:rFonts w:hint="eastAsia" w:ascii="宋体" w:hAnsi="宋体"/>
          <w:color w:val="auto"/>
          <w:szCs w:val="21"/>
          <w:lang w:val="en-US" w:eastAsia="zh-CN"/>
        </w:rPr>
        <w:t>远程</w:t>
      </w:r>
      <w:r>
        <w:rPr>
          <w:rFonts w:hint="eastAsia" w:ascii="宋体" w:hAnsi="宋体"/>
          <w:color w:val="auto"/>
          <w:szCs w:val="21"/>
        </w:rPr>
        <w:t>监督审核</w:t>
      </w:r>
      <w:r>
        <w:rPr>
          <w:rFonts w:hint="eastAsia" w:ascii="宋体" w:hAnsi="宋体"/>
          <w:color w:val="auto"/>
          <w:szCs w:val="21"/>
          <w:lang w:eastAsia="zh-CN"/>
        </w:rPr>
        <w:t>，</w:t>
      </w:r>
      <w:r>
        <w:rPr>
          <w:rFonts w:hint="eastAsia" w:ascii="宋体" w:hAnsi="宋体"/>
          <w:color w:val="auto"/>
          <w:szCs w:val="21"/>
          <w:lang w:val="en-US" w:eastAsia="zh-CN"/>
        </w:rPr>
        <w:t>采用微信会议及微信、手机视频， 通过审核电子文档、照片或截屏、视频等形式获取信息，</w:t>
      </w:r>
      <w:r>
        <w:rPr>
          <w:rFonts w:hint="eastAsia" w:cs="宋体" w:asciiTheme="minorEastAsia" w:hAnsiTheme="minorEastAsia"/>
          <w:bCs/>
          <w:kern w:val="0"/>
          <w:szCs w:val="21"/>
        </w:rPr>
        <w:t>.验证了公司在去年一年内，测量管理体系运作情况，公司领导重视体系运行和管理，体系文件得到有效实施，企业管理规范，关键测量过程1项，过程受控、监视方法正确有效，重要测量人员能力受控，测量设备、测量环境、测量软件、测量记录及外部供方管理等各项工作。综上所述，审核组认为长沙肯贝科技有限公司测量管理体系，符合GB/T 19022-2003标准要求，对体系运行具有持续的有效性、符合性予以肯定。建议报请北京国标联合认证有限公司批准通过监督审核。</w:t>
      </w:r>
    </w:p>
    <w:p>
      <w:pPr>
        <w:widowControl/>
        <w:spacing w:line="360" w:lineRule="auto"/>
        <w:rPr>
          <w:rFonts w:ascii="宋体" w:hAnsi="宋体" w:eastAsia="宋体" w:cs="宋体"/>
          <w:b/>
          <w:bCs/>
          <w:kern w:val="0"/>
          <w:szCs w:val="28"/>
        </w:rPr>
      </w:pPr>
    </w:p>
    <w:p>
      <w:pPr>
        <w:widowControl/>
        <w:spacing w:line="360" w:lineRule="auto"/>
        <w:jc w:val="left"/>
        <w:rPr>
          <w:rFonts w:ascii="宋体" w:hAnsi="宋体" w:cs="宋体"/>
          <w:kern w:val="0"/>
          <w:szCs w:val="21"/>
        </w:rPr>
      </w:pPr>
      <w:bookmarkStart w:id="11" w:name="_GoBack"/>
      <w:bookmarkEnd w:id="11"/>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1347470</wp:posOffset>
            </wp:positionH>
            <wp:positionV relativeFrom="paragraph">
              <wp:posOffset>17780</wp:posOffset>
            </wp:positionV>
            <wp:extent cx="469265" cy="264795"/>
            <wp:effectExtent l="0" t="0" r="635" b="1905"/>
            <wp:wrapNone/>
            <wp:docPr id="2"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3" descr="577475f2d71659eed95b546a81c2d41"/>
                    <pic:cNvPicPr>
                      <a:picLocks noChangeAspect="1"/>
                    </pic:cNvPicPr>
                  </pic:nvPicPr>
                  <pic:blipFill>
                    <a:blip r:embed="rId6"/>
                    <a:stretch>
                      <a:fillRect/>
                    </a:stretch>
                  </pic:blipFill>
                  <pic:spPr>
                    <a:xfrm>
                      <a:off x="0" y="0"/>
                      <a:ext cx="469265" cy="26479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2022.7.23</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360" w:lineRule="auto"/>
        <w:ind w:right="945"/>
        <w:jc w:val="left"/>
        <w:rPr>
          <w:rFonts w:ascii="宋体" w:hAnsi="宋体" w:eastAsia="宋体" w:cs="宋体"/>
          <w:kern w:val="0"/>
          <w:szCs w:val="28"/>
        </w:rPr>
      </w:pPr>
    </w:p>
    <w:p>
      <w:pPr>
        <w:widowControl/>
        <w:spacing w:line="360"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360"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6816846"/>
    <w:rsid w:val="0ED924AF"/>
    <w:rsid w:val="20376ED9"/>
    <w:rsid w:val="5D753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1507</Words>
  <Characters>1686</Characters>
  <Lines>15</Lines>
  <Paragraphs>4</Paragraphs>
  <TotalTime>1</TotalTime>
  <ScaleCrop>false</ScaleCrop>
  <LinksUpToDate>false</LinksUpToDate>
  <CharactersWithSpaces>1793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2022-08-03T20:28:09Z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391AD69E6DCB43F68780DAEC5EB75BDB</vt:lpwstr>
  </property>
</Properties>
</file>