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0938-2022-F</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5"/>
        <w:rPr>
          <w:rFonts w:hint="eastAsia"/>
        </w:rPr>
      </w:pPr>
    </w:p>
    <w:p>
      <w:pPr>
        <w:pStyle w:val="15"/>
        <w:rPr>
          <w:rFonts w:hint="eastAsia"/>
        </w:rPr>
      </w:pPr>
    </w:p>
    <w:p>
      <w:pPr>
        <w:pStyle w:val="15"/>
        <w:rPr>
          <w:rFonts w:hint="eastAsia"/>
        </w:rPr>
      </w:pPr>
    </w:p>
    <w:p>
      <w:pPr>
        <w:pStyle w:val="15"/>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河北友楂食品有限公司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5"/>
        <w:rPr>
          <w:rFonts w:hint="eastAsia"/>
        </w:rPr>
      </w:pPr>
    </w:p>
    <w:p>
      <w:pPr>
        <w:pStyle w:val="15"/>
        <w:rPr>
          <w:rFonts w:hint="eastAsia"/>
        </w:rPr>
      </w:pPr>
    </w:p>
    <w:p>
      <w:pPr>
        <w:pStyle w:val="15"/>
        <w:rPr>
          <w:rFonts w:hint="eastAsia"/>
        </w:rPr>
      </w:pPr>
    </w:p>
    <w:p>
      <w:pPr>
        <w:pStyle w:val="15"/>
      </w:pP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河北友楂食品有限公司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承德鹰手营子矿区北马圈子镇金扇子112线国道东侧食品园区2号</w:t>
            </w:r>
            <w:bookmarkEnd w:id="8"/>
          </w:p>
        </w:tc>
        <w:tc>
          <w:tcPr>
            <w:tcW w:w="1242" w:type="dxa"/>
            <w:vMerge w:val="restart"/>
            <w:vAlign w:val="center"/>
          </w:tcPr>
          <w:p>
            <w:r>
              <w:rPr>
                <w:rFonts w:hint="eastAsia"/>
              </w:rPr>
              <w:t>邮编</w:t>
            </w:r>
          </w:p>
        </w:tc>
        <w:tc>
          <w:tcPr>
            <w:tcW w:w="1771" w:type="dxa"/>
          </w:tcPr>
          <w:p>
            <w:bookmarkStart w:id="9" w:name="注册邮编"/>
            <w:r>
              <w:t>067000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rPr>
                <w:rFonts w:hint="eastAsia"/>
                <w:lang w:val="en-US" w:eastAsia="zh-CN"/>
              </w:rPr>
              <w:t>河北省</w:t>
            </w:r>
            <w:r>
              <w:t>承德</w:t>
            </w:r>
            <w:r>
              <w:rPr>
                <w:rFonts w:hint="eastAsia"/>
                <w:lang w:val="en-US" w:eastAsia="zh-CN"/>
              </w:rPr>
              <w:t>市</w:t>
            </w:r>
            <w:r>
              <w:t>鹰手营子矿区北马圈子镇金扇子112线国道东侧食品园区2号</w:t>
            </w:r>
            <w:bookmarkEnd w:id="10"/>
          </w:p>
        </w:tc>
        <w:tc>
          <w:tcPr>
            <w:tcW w:w="1242" w:type="dxa"/>
            <w:vMerge w:val="continue"/>
            <w:vAlign w:val="center"/>
          </w:tcPr>
          <w:p/>
        </w:tc>
        <w:tc>
          <w:tcPr>
            <w:tcW w:w="1771" w:type="dxa"/>
          </w:tcPr>
          <w:p>
            <w:bookmarkStart w:id="11" w:name="办公邮编"/>
            <w:r>
              <w:t>067000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张占平</w:t>
            </w:r>
            <w:bookmarkEnd w:id="12"/>
          </w:p>
        </w:tc>
        <w:tc>
          <w:tcPr>
            <w:tcW w:w="1313" w:type="dxa"/>
            <w:vAlign w:val="center"/>
          </w:tcPr>
          <w:p>
            <w:r>
              <w:rPr>
                <w:rFonts w:hint="eastAsia"/>
              </w:rPr>
              <w:t>电话.</w:t>
            </w:r>
          </w:p>
        </w:tc>
        <w:tc>
          <w:tcPr>
            <w:tcW w:w="2180" w:type="dxa"/>
            <w:vAlign w:val="center"/>
          </w:tcPr>
          <w:p>
            <w:bookmarkStart w:id="13" w:name="联系人电话"/>
            <w:r>
              <w:t>19931057555</w:t>
            </w:r>
            <w:bookmarkEnd w:id="13"/>
          </w:p>
        </w:tc>
        <w:tc>
          <w:tcPr>
            <w:tcW w:w="1242" w:type="dxa"/>
            <w:vAlign w:val="center"/>
          </w:tcPr>
          <w:p>
            <w:r>
              <w:rPr>
                <w:rFonts w:hint="eastAsia"/>
              </w:rPr>
              <w:t>传真</w:t>
            </w:r>
          </w:p>
        </w:tc>
        <w:tc>
          <w:tcPr>
            <w:tcW w:w="1771" w:type="dxa"/>
          </w:tcPr>
          <w:p>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法人"/>
            <w:r>
              <w:t>刘宝</w:t>
            </w:r>
            <w:bookmarkEnd w:id="15"/>
          </w:p>
        </w:tc>
        <w:tc>
          <w:tcPr>
            <w:tcW w:w="1313" w:type="dxa"/>
            <w:vAlign w:val="center"/>
          </w:tcPr>
          <w:p>
            <w:r>
              <w:rPr>
                <w:rFonts w:hint="eastAsia"/>
              </w:rPr>
              <w:t>管理者代表</w:t>
            </w:r>
          </w:p>
        </w:tc>
        <w:tc>
          <w:tcPr>
            <w:tcW w:w="2180" w:type="dxa"/>
          </w:tcPr>
          <w:p>
            <w:bookmarkStart w:id="16" w:name="管理者代表"/>
            <w:r>
              <w:t>张占平</w:t>
            </w:r>
            <w:bookmarkEnd w:id="16"/>
          </w:p>
        </w:tc>
        <w:tc>
          <w:tcPr>
            <w:tcW w:w="1242" w:type="dxa"/>
          </w:tcPr>
          <w:p>
            <w:r>
              <w:rPr>
                <w:rFonts w:hint="eastAsia"/>
              </w:rPr>
              <w:t>邮箱</w:t>
            </w:r>
          </w:p>
        </w:tc>
        <w:tc>
          <w:tcPr>
            <w:tcW w:w="1771" w:type="dxa"/>
          </w:tcPr>
          <w:p>
            <w:bookmarkStart w:id="17" w:name="联系人邮箱"/>
            <w:r>
              <w:rPr>
                <w:sz w:val="21"/>
                <w:szCs w:val="21"/>
              </w:rPr>
              <w:t>168577760@qq.com</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w:t>
            </w:r>
            <w:r>
              <w:rPr>
                <w:rFonts w:hint="eastAsia"/>
              </w:rPr>
              <w:sym w:font="Wingdings 2" w:char="0052"/>
            </w:r>
            <w:r>
              <w:rPr>
                <w:rFonts w:hint="eastAsia"/>
              </w:rPr>
              <w:t>三班□其他</w:t>
            </w:r>
          </w:p>
          <w:p>
            <w:pPr>
              <w:rPr>
                <w:rFonts w:hint="default" w:eastAsia="宋体"/>
                <w:lang w:val="en-US" w:eastAsia="zh-CN"/>
              </w:rPr>
            </w:pPr>
            <w:r>
              <w:rPr>
                <w:rFonts w:hint="eastAsia"/>
                <w:lang w:val="en-US" w:eastAsia="zh-CN"/>
              </w:rPr>
              <w:t>主要是生产前段工序3班次，包装为单班次，生产前段工序工作内容一致，本次审核考虑到工序的重复性安排的审核计划进行审核。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color w:val="000000"/>
                <w:highlight w:val="none"/>
                <w:lang w:val="en-US" w:eastAsia="zh-CN"/>
              </w:rPr>
            </w:pPr>
          </w:p>
          <w:p>
            <w:r>
              <w:rPr>
                <w:rFonts w:hint="eastAsia"/>
                <w:color w:val="000000"/>
                <w:highlight w:val="none"/>
                <w:lang w:val="en-US" w:eastAsia="zh-CN"/>
              </w:rPr>
              <w:t>山楂验收→选果→洗果→煮果（配料）→打浆搅拌→刮片→烘干起片→切料→内包装→外包装→检验→装箱贮存→成品出厂</w:t>
            </w:r>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8" w:name="审核日期"/>
            <w:r>
              <w:rPr>
                <w:rFonts w:hint="eastAsia"/>
              </w:rPr>
              <w:t>2022年07月26日 上午</w:t>
            </w:r>
            <w:r>
              <w:rPr>
                <w:rFonts w:hint="eastAsia"/>
                <w:lang w:val="en-US" w:eastAsia="zh-CN"/>
              </w:rPr>
              <w:t>8：00</w:t>
            </w:r>
            <w:r>
              <w:rPr>
                <w:rFonts w:hint="eastAsia"/>
              </w:rPr>
              <w:t>至2022年07月26日 下午</w:t>
            </w:r>
            <w:bookmarkEnd w:id="18"/>
            <w:r>
              <w:rPr>
                <w:rFonts w:hint="eastAsia"/>
                <w:lang w:val="en-US" w:eastAsia="zh-CN"/>
              </w:rPr>
              <w:t>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9" w:name="初审"/>
            <w:r>
              <w:rPr>
                <w:rFonts w:hint="eastAsia"/>
              </w:rPr>
              <w:t>■</w:t>
            </w:r>
            <w:bookmarkEnd w:id="19"/>
            <w:r>
              <w:rPr>
                <w:rFonts w:hint="eastAsia"/>
              </w:rPr>
              <w:t>初审二阶段：评价组织管理体系建立、实施运行的符合性及有效性，以确定是否推荐认证注册。</w:t>
            </w:r>
          </w:p>
          <w:p>
            <w:bookmarkStart w:id="20" w:name="监督勾选"/>
            <w:r>
              <w:rPr>
                <w:rFonts w:hint="eastAsia"/>
              </w:rPr>
              <w:t>□</w:t>
            </w:r>
            <w:bookmarkEnd w:id="20"/>
            <w:r>
              <w:rPr>
                <w:rFonts w:hint="eastAsia"/>
              </w:rPr>
              <w:t>监督审核：评价组织管理体系的持续符合性和有效性，以确定是否推荐保持认证证书。</w:t>
            </w:r>
          </w:p>
          <w:p>
            <w:bookmarkStart w:id="21" w:name="再认证勾选"/>
            <w:r>
              <w:rPr>
                <w:rFonts w:hint="eastAsia"/>
              </w:rPr>
              <w:t>□</w:t>
            </w:r>
            <w:bookmarkEnd w:id="21"/>
            <w:r>
              <w:rPr>
                <w:rFonts w:hint="eastAsia"/>
              </w:rPr>
              <w:t>再认证：评价组织管理体系整体的持续符合性和有效性，以确定是否推荐更新认证并换发认证证书。</w:t>
            </w:r>
          </w:p>
          <w:p>
            <w:bookmarkStart w:id="22" w:name="扩项勾选"/>
            <w:r>
              <w:rPr>
                <w:rFonts w:hint="eastAsia"/>
              </w:rPr>
              <w:t>□</w:t>
            </w:r>
            <w:bookmarkEnd w:id="22"/>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3" w:name="Q勾选Add1"/>
            <w:r>
              <w:rPr>
                <w:rFonts w:hint="eastAsia"/>
                <w:lang w:val="de-DE"/>
              </w:rPr>
              <w:t>□</w:t>
            </w:r>
            <w:bookmarkEnd w:id="23"/>
            <w:r>
              <w:rPr>
                <w:rFonts w:hint="eastAsia"/>
                <w:lang w:val="de-DE"/>
              </w:rPr>
              <w:t>GB/T19001-2016</w:t>
            </w:r>
            <w:r>
              <w:rPr>
                <w:rFonts w:hint="eastAsia"/>
              </w:rPr>
              <w:t xml:space="preserve">/ISO 9001:2015  </w:t>
            </w:r>
            <w:bookmarkStart w:id="24" w:name="QJ勾选"/>
            <w:r>
              <w:rPr>
                <w:rFonts w:hint="eastAsia"/>
                <w:lang w:val="de-DE"/>
              </w:rPr>
              <w:t>□</w:t>
            </w:r>
            <w:bookmarkEnd w:id="24"/>
            <w:r>
              <w:rPr>
                <w:rFonts w:hint="eastAsia"/>
                <w:lang w:val="de-DE"/>
              </w:rPr>
              <w:t>GB/T 50430-2017</w:t>
            </w:r>
          </w:p>
          <w:p>
            <w:pPr>
              <w:rPr>
                <w:lang w:val="de-DE"/>
              </w:rPr>
            </w:pPr>
            <w:bookmarkStart w:id="25" w:name="E勾选Add1"/>
            <w:r>
              <w:rPr>
                <w:rFonts w:hint="eastAsia"/>
                <w:lang w:val="de-DE"/>
              </w:rPr>
              <w:t>□</w:t>
            </w:r>
            <w:bookmarkEnd w:id="25"/>
            <w:r>
              <w:rPr>
                <w:rFonts w:hint="eastAsia"/>
                <w:lang w:val="de-DE"/>
              </w:rPr>
              <w:t>GB/T24001-2016</w:t>
            </w:r>
            <w:r>
              <w:rPr>
                <w:rFonts w:hint="eastAsia"/>
              </w:rPr>
              <w:t xml:space="preserve">/ISO 14001:2015 </w:t>
            </w:r>
            <w:bookmarkStart w:id="26" w:name="S勾选Add1"/>
            <w:r>
              <w:rPr>
                <w:rFonts w:hint="eastAsia"/>
                <w:lang w:val="de-DE"/>
              </w:rPr>
              <w:t>□</w:t>
            </w:r>
            <w:bookmarkEnd w:id="26"/>
            <w:r>
              <w:rPr>
                <w:rFonts w:hint="eastAsia"/>
              </w:rPr>
              <w:t>GB/T 45001-2020/</w:t>
            </w:r>
            <w:r>
              <w:rPr>
                <w:rFonts w:hint="eastAsia"/>
                <w:lang w:val="de-DE"/>
              </w:rPr>
              <w:t>ISO45001：2018</w:t>
            </w:r>
          </w:p>
          <w:p>
            <w:pPr>
              <w:jc w:val="left"/>
              <w:rPr>
                <w:lang w:val="de-DE"/>
              </w:rPr>
            </w:pPr>
            <w:r>
              <w:rPr>
                <w:rFonts w:hint="eastAsia"/>
                <w:lang w:val="de-DE"/>
              </w:rPr>
              <w:t>FSMS：</w:t>
            </w:r>
            <w:bookmarkStart w:id="27" w:name="F勾选Add1"/>
            <w:r>
              <w:rPr>
                <w:rFonts w:hint="eastAsia"/>
                <w:lang w:val="de-DE"/>
              </w:rPr>
              <w:t>■</w:t>
            </w:r>
            <w:bookmarkEnd w:id="27"/>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8" w:name="H勾选Add1"/>
            <w:r>
              <w:rPr>
                <w:rFonts w:hint="eastAsia"/>
                <w:lang w:val="de-DE"/>
              </w:rPr>
              <w:t>□</w:t>
            </w:r>
            <w:bookmarkEnd w:id="28"/>
            <w:r>
              <w:rPr>
                <w:rFonts w:hint="eastAsia"/>
                <w:lang w:val="de-DE"/>
              </w:rPr>
              <w:t xml:space="preserve"> GB/T27341-2009□ GB 14881-2013 □《危害分析与关键控制点（HACCP体系）认证补充要求 1.0》</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9" w:name="二阶段勾选"/>
            <w:r>
              <w:rPr>
                <w:rFonts w:hint="eastAsia"/>
              </w:rPr>
              <w:t>■</w:t>
            </w:r>
            <w:bookmarkEnd w:id="29"/>
            <w:r>
              <w:rPr>
                <w:rFonts w:hint="eastAsia"/>
              </w:rPr>
              <w:t>初审二阶段</w:t>
            </w:r>
            <w:bookmarkStart w:id="30" w:name="监督勾选Add1"/>
            <w:r>
              <w:rPr>
                <w:rFonts w:hint="eastAsia"/>
              </w:rPr>
              <w:t>□</w:t>
            </w:r>
            <w:bookmarkEnd w:id="30"/>
            <w:r>
              <w:rPr>
                <w:rFonts w:hint="eastAsia"/>
              </w:rPr>
              <w:t>监督第</w:t>
            </w:r>
            <w:bookmarkStart w:id="31" w:name="监督次数"/>
            <w:bookmarkEnd w:id="31"/>
            <w:r>
              <w:rPr>
                <w:rFonts w:hint="eastAsia"/>
              </w:rPr>
              <w:t>次监督审核</w:t>
            </w:r>
            <w:bookmarkStart w:id="32" w:name="再认证勾选Add1"/>
            <w:r>
              <w:rPr>
                <w:rFonts w:hint="eastAsia"/>
              </w:rPr>
              <w:t>□</w:t>
            </w:r>
            <w:bookmarkEnd w:id="32"/>
            <w:r>
              <w:rPr>
                <w:rFonts w:hint="eastAsia"/>
              </w:rPr>
              <w:t>再认证</w:t>
            </w:r>
            <w:bookmarkStart w:id="33" w:name="扩项勾选Add1"/>
            <w:r>
              <w:rPr>
                <w:rFonts w:hint="eastAsia"/>
              </w:rPr>
              <w:t>□</w:t>
            </w:r>
            <w:bookmarkEnd w:id="33"/>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strike/>
                <w:dstrike w:val="0"/>
                <w:color w:val="0000FF"/>
                <w:szCs w:val="21"/>
              </w:rPr>
            </w:pPr>
            <w:r>
              <w:rPr>
                <w:rFonts w:hint="eastAsia" w:cs="Arial"/>
                <w:b/>
                <w:bCs/>
                <w:strike/>
                <w:dstrike w:val="0"/>
                <w:color w:val="0000FF"/>
                <w:szCs w:val="21"/>
              </w:rPr>
              <w:t>审核地址（含远程）</w:t>
            </w:r>
          </w:p>
        </w:tc>
        <w:tc>
          <w:tcPr>
            <w:tcW w:w="7831" w:type="dxa"/>
            <w:gridSpan w:val="3"/>
            <w:tcMar>
              <w:left w:w="113" w:type="dxa"/>
            </w:tcMar>
          </w:tcPr>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远程审核方式</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信息安全的控制</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远程审核资源</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r>
              <w:rPr>
                <w:sz w:val="21"/>
                <w:szCs w:val="21"/>
              </w:rPr>
              <w:t>位于</w:t>
            </w:r>
            <w:r>
              <w:rPr>
                <w:rFonts w:hint="eastAsia"/>
                <w:sz w:val="21"/>
                <w:szCs w:val="21"/>
                <w:lang w:val="en-US" w:eastAsia="zh-CN"/>
              </w:rPr>
              <w:t>河北省</w:t>
            </w:r>
            <w:r>
              <w:rPr>
                <w:sz w:val="21"/>
                <w:szCs w:val="21"/>
              </w:rPr>
              <w:t>承德</w:t>
            </w:r>
            <w:r>
              <w:rPr>
                <w:rFonts w:hint="eastAsia"/>
                <w:sz w:val="21"/>
                <w:szCs w:val="21"/>
                <w:lang w:val="en-US" w:eastAsia="zh-CN"/>
              </w:rPr>
              <w:t>市</w:t>
            </w:r>
            <w:r>
              <w:rPr>
                <w:sz w:val="21"/>
                <w:szCs w:val="21"/>
              </w:rPr>
              <w:t>鹰手营子矿区北马圈子镇金扇子112线国道东侧食品园区2号</w:t>
            </w:r>
            <w:r>
              <w:rPr>
                <w:rFonts w:hint="eastAsia"/>
                <w:sz w:val="21"/>
                <w:szCs w:val="21"/>
                <w:lang w:val="en-US" w:eastAsia="zh-CN"/>
              </w:rPr>
              <w:t>河北友楂食品有限公司</w:t>
            </w:r>
            <w:r>
              <w:rPr>
                <w:sz w:val="21"/>
                <w:szCs w:val="21"/>
              </w:rPr>
              <w:t>生产车间的</w:t>
            </w:r>
            <w:r>
              <w:rPr>
                <w:rFonts w:hint="eastAsia"/>
                <w:sz w:val="21"/>
                <w:szCs w:val="21"/>
                <w:lang w:val="en-US" w:eastAsia="zh-CN"/>
              </w:rPr>
              <w:t>山楂</w:t>
            </w:r>
            <w:r>
              <w:rPr>
                <w:sz w:val="21"/>
                <w:szCs w:val="21"/>
              </w:rPr>
              <w:t>果糕类</w:t>
            </w:r>
            <w:r>
              <w:rPr>
                <w:rFonts w:hint="eastAsia"/>
                <w:sz w:val="21"/>
                <w:szCs w:val="21"/>
                <w:lang w:val="en-US" w:eastAsia="zh-CN"/>
              </w:rPr>
              <w:t>产品</w:t>
            </w:r>
            <w:r>
              <w:rPr>
                <w:sz w:val="21"/>
                <w:szCs w:val="21"/>
              </w:rPr>
              <w:t>的生产</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4" w:name="专业代码"/>
            <w:r>
              <w:t>CIV-7</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不适用ISO9001的条款</w:t>
            </w:r>
          </w:p>
        </w:tc>
        <w:tc>
          <w:tcPr>
            <w:tcW w:w="7831" w:type="dxa"/>
            <w:gridSpan w:val="3"/>
          </w:tcPr>
          <w:p>
            <w:pPr>
              <w:rPr>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pP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rPr>
              <w:t>年月日</w:t>
            </w:r>
            <w:r>
              <w:rPr>
                <w:rFonts w:hint="eastAsia"/>
                <w:lang w:eastAsia="zh-CN"/>
              </w:rPr>
              <w:t>——</w:t>
            </w:r>
            <w:r>
              <w:rPr>
                <w:rFonts w:hint="eastAsia"/>
                <w:lang w:val="en-US" w:eastAsia="zh-CN"/>
              </w:rPr>
              <w:t>不适用</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r>
              <w:rPr>
                <w:rFonts w:hint="eastAsia"/>
                <w:lang w:eastAsia="zh-CN"/>
              </w:rPr>
              <w:t>——</w:t>
            </w:r>
            <w:r>
              <w:rPr>
                <w:rFonts w:hint="eastAsia"/>
                <w:lang w:val="en-US" w:eastAsia="zh-CN"/>
              </w:rPr>
              <w:t>不适用</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pPr>
            <w:r>
              <w:t>河北友楂食品有限公司</w:t>
            </w:r>
          </w:p>
          <w:p>
            <w:pPr>
              <w:pStyle w:val="2"/>
              <w:tabs>
                <w:tab w:val="left" w:pos="540"/>
                <w:tab w:val="left" w:pos="1560"/>
                <w:tab w:val="left" w:pos="1985"/>
              </w:tabs>
              <w:ind w:left="0" w:leftChars="0" w:firstLine="0" w:firstLineChars="0"/>
              <w:rPr>
                <w:rFonts w:ascii="Times New Roman" w:hAnsi="Times New Roman" w:eastAsia="宋体" w:cs="Times New Roman"/>
                <w:b/>
                <w:kern w:val="0"/>
                <w:sz w:val="21"/>
                <w:szCs w:val="24"/>
                <w:lang w:val="de-DE" w:eastAsia="ja-JP" w:bidi="ar-SA"/>
              </w:rPr>
            </w:pPr>
            <w:r>
              <w:rPr>
                <w:sz w:val="21"/>
                <w:szCs w:val="21"/>
              </w:rPr>
              <w:t>承德鹰手营子矿区北马圈子镇金扇子112线国道东侧食品园区2号</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hint="eastAsia"/>
                <w:sz w:val="21"/>
                <w:szCs w:val="21"/>
                <w:lang w:val="en-US" w:eastAsia="zh-CN"/>
              </w:rPr>
              <w:t>河北省</w:t>
            </w:r>
            <w:r>
              <w:rPr>
                <w:sz w:val="21"/>
                <w:szCs w:val="21"/>
              </w:rPr>
              <w:t>承德</w:t>
            </w:r>
            <w:r>
              <w:rPr>
                <w:rFonts w:hint="eastAsia"/>
                <w:sz w:val="21"/>
                <w:szCs w:val="21"/>
                <w:lang w:val="en-US" w:eastAsia="zh-CN"/>
              </w:rPr>
              <w:t>市</w:t>
            </w:r>
            <w:r>
              <w:rPr>
                <w:sz w:val="21"/>
                <w:szCs w:val="21"/>
              </w:rPr>
              <w:t>鹰手营子矿区北马圈子镇金扇子112线国道东侧食品园区2号</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50人</w:t>
            </w:r>
          </w:p>
        </w:tc>
        <w:tc>
          <w:tcPr>
            <w:tcW w:w="2803" w:type="dxa"/>
            <w:vAlign w:val="center"/>
          </w:tcPr>
          <w:p>
            <w:pPr>
              <w:pStyle w:val="24"/>
              <w:rPr>
                <w:rFonts w:ascii="Times New Roman" w:hAnsi="Times New Roman" w:eastAsia="黑体" w:cs="Arial"/>
                <w:kern w:val="2"/>
                <w:sz w:val="21"/>
                <w:szCs w:val="21"/>
                <w:lang w:val="en-US" w:eastAsia="ja-JP" w:bidi="ar-SA"/>
              </w:rPr>
            </w:pPr>
            <w:r>
              <w:rPr>
                <w:sz w:val="21"/>
                <w:szCs w:val="21"/>
              </w:rPr>
              <w:t>位于</w:t>
            </w:r>
            <w:r>
              <w:rPr>
                <w:rFonts w:hint="eastAsia"/>
                <w:sz w:val="21"/>
                <w:szCs w:val="21"/>
                <w:lang w:val="en-US" w:eastAsia="zh-CN"/>
              </w:rPr>
              <w:t>河北省</w:t>
            </w:r>
            <w:r>
              <w:rPr>
                <w:sz w:val="21"/>
                <w:szCs w:val="21"/>
              </w:rPr>
              <w:t>承德</w:t>
            </w:r>
            <w:r>
              <w:rPr>
                <w:rFonts w:hint="eastAsia"/>
                <w:sz w:val="21"/>
                <w:szCs w:val="21"/>
                <w:lang w:val="en-US" w:eastAsia="zh-CN"/>
              </w:rPr>
              <w:t>市</w:t>
            </w:r>
            <w:r>
              <w:rPr>
                <w:sz w:val="21"/>
                <w:szCs w:val="21"/>
              </w:rPr>
              <w:t>鹰手营子矿区北马圈子镇金扇子112线国道东侧食品园区2号</w:t>
            </w:r>
            <w:r>
              <w:rPr>
                <w:rFonts w:hint="eastAsia"/>
                <w:sz w:val="21"/>
                <w:szCs w:val="21"/>
                <w:lang w:val="en-US" w:eastAsia="zh-CN"/>
              </w:rPr>
              <w:t>河北友楂食品有限公司</w:t>
            </w:r>
            <w:r>
              <w:rPr>
                <w:sz w:val="21"/>
                <w:szCs w:val="21"/>
              </w:rPr>
              <w:t>生产车间的</w:t>
            </w:r>
            <w:r>
              <w:rPr>
                <w:rFonts w:hint="eastAsia"/>
                <w:sz w:val="21"/>
                <w:szCs w:val="21"/>
                <w:lang w:val="en-US" w:eastAsia="zh-CN"/>
              </w:rPr>
              <w:t>山楂</w:t>
            </w:r>
            <w:r>
              <w:rPr>
                <w:sz w:val="21"/>
                <w:szCs w:val="21"/>
              </w:rPr>
              <w:t>果糕类</w:t>
            </w:r>
            <w:r>
              <w:rPr>
                <w:rFonts w:hint="eastAsia"/>
                <w:sz w:val="21"/>
                <w:szCs w:val="21"/>
                <w:lang w:val="en-US" w:eastAsia="zh-CN"/>
              </w:rPr>
              <w:t>产品</w:t>
            </w:r>
            <w:r>
              <w:rPr>
                <w:sz w:val="21"/>
                <w:szCs w:val="21"/>
              </w:rPr>
              <w:t>的生产</w:t>
            </w:r>
          </w:p>
        </w:tc>
        <w:tc>
          <w:tcPr>
            <w:tcW w:w="669"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default" w:eastAsia="宋体"/>
          <w:lang w:val="en-US" w:eastAsia="zh-CN"/>
        </w:rPr>
      </w:pPr>
      <w:r>
        <w:rPr>
          <w:rFonts w:hint="eastAsia"/>
        </w:rPr>
        <w:t>三、任何影响审核方案的重要事项：</w:t>
      </w:r>
      <w:r>
        <w:rPr>
          <w:rFonts w:hint="eastAsia"/>
          <w:lang w:eastAsia="zh-CN"/>
        </w:rPr>
        <w:t>——</w:t>
      </w:r>
      <w:r>
        <w:rPr>
          <w:rFonts w:hint="eastAsia"/>
          <w:lang w:val="en-US" w:eastAsia="zh-CN"/>
        </w:rPr>
        <w:t>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6"/>
      </w:pPr>
      <w:r>
        <w:rPr>
          <w:rFonts w:hint="eastAsia"/>
        </w:rPr>
        <w:t>四、</w:t>
      </w:r>
      <w:r>
        <w:t>对偏离审核计划情况</w:t>
      </w:r>
      <w:r>
        <w:rPr>
          <w:rFonts w:hint="eastAsia"/>
        </w:rPr>
        <w:t>及理由</w:t>
      </w:r>
      <w:r>
        <w:t>，包括对审核风险及影响审核结论的不确定性的客观陈述。</w:t>
      </w:r>
    </w:p>
    <w:p>
      <w:pPr>
        <w:rPr>
          <w:rFonts w:hint="default" w:eastAsia="宋体"/>
          <w:lang w:val="en-US" w:eastAsia="zh-CN"/>
        </w:rPr>
      </w:pPr>
      <w:r>
        <w:rPr>
          <w:rFonts w:hint="eastAsia"/>
        </w:rPr>
        <w:t>本次审核活动按《审核计划》执行。完成情况说明:</w:t>
      </w:r>
      <w:r>
        <w:rPr>
          <w:rFonts w:hint="eastAsia"/>
          <w:lang w:eastAsia="zh-CN"/>
        </w:rPr>
        <w:t>——</w:t>
      </w:r>
      <w:r>
        <w:rPr>
          <w:rFonts w:hint="eastAsia"/>
          <w:lang w:val="en-US" w:eastAsia="zh-CN"/>
        </w:rPr>
        <w:t>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2020-N1FSMS-1232380</w:t>
            </w:r>
          </w:p>
        </w:tc>
        <w:tc>
          <w:tcPr>
            <w:tcW w:w="2179" w:type="dxa"/>
            <w:vAlign w:val="center"/>
          </w:tcPr>
          <w:p>
            <w:r>
              <w:t>CIV-7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张静</w:t>
            </w:r>
          </w:p>
        </w:tc>
        <w:tc>
          <w:tcPr>
            <w:tcW w:w="1089" w:type="dxa"/>
            <w:vAlign w:val="center"/>
          </w:tcPr>
          <w:p>
            <w:r>
              <w:t>组员</w:t>
            </w:r>
          </w:p>
        </w:tc>
        <w:tc>
          <w:tcPr>
            <w:tcW w:w="711" w:type="dxa"/>
            <w:vAlign w:val="center"/>
          </w:tcPr>
          <w:p>
            <w:r>
              <w:t>女</w:t>
            </w:r>
          </w:p>
        </w:tc>
        <w:tc>
          <w:tcPr>
            <w:tcW w:w="3870" w:type="dxa"/>
            <w:vAlign w:val="center"/>
          </w:tcPr>
          <w:p>
            <w:r>
              <w:t>2020-N1FSMS-3011923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pPr>
        <w:rPr>
          <w:rFonts w:hint="default" w:eastAsia="宋体"/>
          <w:lang w:val="en-US" w:eastAsia="zh-CN"/>
        </w:rPr>
      </w:pPr>
      <w:r>
        <w:rPr>
          <w:rFonts w:hint="eastAsia"/>
        </w:rPr>
        <w:t>六、上次审核后发生的影响组织管理体系的重要变更（适用时）</w:t>
      </w:r>
      <w:r>
        <w:rPr>
          <w:rFonts w:hint="eastAsia"/>
          <w:lang w:eastAsia="zh-CN"/>
        </w:rPr>
        <w:t>——</w:t>
      </w:r>
      <w:r>
        <w:rPr>
          <w:rFonts w:hint="eastAsia"/>
          <w:lang w:val="en-US" w:eastAsia="zh-CN"/>
        </w:rPr>
        <w:t>二阶段未发生变更</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□EMS□OHSMS□EnMS</w:t>
      </w:r>
      <w:r>
        <w:rPr>
          <w:rFonts w:hint="eastAsia"/>
        </w:rPr>
        <w:sym w:font="Wingdings 2" w:char="0052"/>
      </w:r>
      <w:r>
        <w:rPr>
          <w:rFonts w:hint="eastAsia"/>
        </w:rPr>
        <w:t>FSMS□HACCP的附件）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审核周期内未发生重大的食品安全事故、也未发生重大的顾客投诉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default" w:eastAsia="宋体"/>
          <w:lang w:val="en-US" w:eastAsia="zh-CN"/>
        </w:rPr>
      </w:pPr>
      <w:r>
        <w:rPr>
          <w:rFonts w:hint="eastAsia"/>
        </w:rPr>
        <w:sym w:font="Wingdings 2" w:char="0052"/>
      </w:r>
      <w:r>
        <w:rPr>
          <w:rFonts w:hint="eastAsia"/>
        </w:rPr>
        <w:t>可能影响本次审核结论可靠性的因素：</w:t>
      </w:r>
      <w:r>
        <w:rPr>
          <w:rFonts w:hint="eastAsia"/>
          <w:color w:val="000000"/>
          <w:lang w:eastAsia="zh-CN"/>
        </w:rPr>
        <w:t>——</w:t>
      </w:r>
      <w:r>
        <w:rPr>
          <w:rFonts w:hint="eastAsia"/>
          <w:color w:val="000000"/>
          <w:lang w:val="en-US" w:eastAsia="zh-CN"/>
        </w:rPr>
        <w:t>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5" w:name="Q勾选Add2"/>
            <w:r>
              <w:rPr>
                <w:rFonts w:hint="eastAsia"/>
              </w:rPr>
              <w:t>□</w:t>
            </w:r>
            <w:bookmarkEnd w:id="35"/>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6" w:name="E勾选Add2"/>
            <w:r>
              <w:rPr>
                <w:rFonts w:hint="eastAsia"/>
              </w:rPr>
              <w:t>□</w:t>
            </w:r>
            <w:bookmarkEnd w:id="3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7" w:name="S勾选Add2"/>
            <w:r>
              <w:rPr>
                <w:rFonts w:hint="eastAsia"/>
              </w:rPr>
              <w:t>□</w:t>
            </w:r>
            <w:bookmarkEnd w:id="3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8" w:name="F勾选Add2"/>
            <w:r>
              <w:rPr>
                <w:rFonts w:hint="eastAsia"/>
              </w:rPr>
              <w:t>■</w:t>
            </w:r>
            <w:bookmarkEnd w:id="38"/>
            <w:r>
              <w:rPr>
                <w:rFonts w:hint="eastAsia"/>
              </w:rPr>
              <w:t>FSMS基本满足ISO22000:2018标准的要求，建立了自我完善机制，管理体系运行基本有效。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9" w:name="H勾选Add2"/>
            <w:r>
              <w:rPr>
                <w:rFonts w:hint="eastAsia"/>
              </w:rPr>
              <w:t>□</w:t>
            </w:r>
            <w:bookmarkEnd w:id="39"/>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pPr>
              <w:rPr>
                <w:rFonts w:hint="default" w:eastAsia="宋体"/>
                <w:lang w:val="en-US" w:eastAsia="zh-CN"/>
              </w:rPr>
            </w:pPr>
            <w:bookmarkStart w:id="40" w:name="范围变化"/>
            <w:bookmarkEnd w:id="40"/>
            <w:r>
              <w:rPr>
                <w:rFonts w:hint="eastAsia"/>
              </w:rPr>
              <w:sym w:font="Wingdings 2" w:char="0052"/>
            </w:r>
            <w:r>
              <w:rPr>
                <w:rFonts w:hint="eastAsia"/>
              </w:rPr>
              <w:t>审核范围变更</w:t>
            </w:r>
            <w:r>
              <w:rPr>
                <w:rFonts w:hint="eastAsia"/>
                <w:lang w:eastAsia="zh-CN"/>
              </w:rPr>
              <w:t>——</w:t>
            </w:r>
            <w:r>
              <w:rPr>
                <w:rFonts w:hint="eastAsia"/>
                <w:lang w:val="en-US" w:eastAsia="zh-CN"/>
              </w:rPr>
              <w:t>见一阶段变更单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tcPr>
          <w:p>
            <w:r>
              <w:rPr>
                <w:sz w:val="21"/>
                <w:szCs w:val="21"/>
              </w:rPr>
              <w:t>位于</w:t>
            </w:r>
            <w:r>
              <w:rPr>
                <w:rFonts w:hint="eastAsia"/>
                <w:sz w:val="21"/>
                <w:szCs w:val="21"/>
                <w:lang w:val="en-US" w:eastAsia="zh-CN"/>
              </w:rPr>
              <w:t>河北省</w:t>
            </w:r>
            <w:r>
              <w:rPr>
                <w:sz w:val="21"/>
                <w:szCs w:val="21"/>
              </w:rPr>
              <w:t>承德</w:t>
            </w:r>
            <w:r>
              <w:rPr>
                <w:rFonts w:hint="eastAsia"/>
                <w:sz w:val="21"/>
                <w:szCs w:val="21"/>
                <w:lang w:val="en-US" w:eastAsia="zh-CN"/>
              </w:rPr>
              <w:t>市</w:t>
            </w:r>
            <w:r>
              <w:rPr>
                <w:sz w:val="21"/>
                <w:szCs w:val="21"/>
              </w:rPr>
              <w:t>鹰手营子矿区北马圈子镇金扇子112线国道东侧食品园区2号</w:t>
            </w:r>
            <w:r>
              <w:rPr>
                <w:rFonts w:hint="eastAsia"/>
                <w:sz w:val="21"/>
                <w:szCs w:val="21"/>
                <w:lang w:val="en-US" w:eastAsia="zh-CN"/>
              </w:rPr>
              <w:t>河北友楂食品有限公司</w:t>
            </w:r>
            <w:r>
              <w:rPr>
                <w:sz w:val="21"/>
                <w:szCs w:val="21"/>
              </w:rPr>
              <w:t>生产车间的</w:t>
            </w:r>
            <w:r>
              <w:rPr>
                <w:rFonts w:hint="eastAsia"/>
                <w:sz w:val="21"/>
                <w:szCs w:val="21"/>
                <w:lang w:val="en-US" w:eastAsia="zh-CN"/>
              </w:rPr>
              <w:t>山楂</w:t>
            </w:r>
            <w:r>
              <w:rPr>
                <w:sz w:val="21"/>
                <w:szCs w:val="21"/>
              </w:rPr>
              <w:t>果糕类</w:t>
            </w:r>
            <w:r>
              <w:rPr>
                <w:rFonts w:hint="eastAsia"/>
                <w:sz w:val="21"/>
                <w:szCs w:val="21"/>
                <w:lang w:val="en-US" w:eastAsia="zh-CN"/>
              </w:rPr>
              <w:t>产品</w:t>
            </w:r>
            <w:r>
              <w:rPr>
                <w:sz w:val="21"/>
                <w:szCs w:val="21"/>
              </w:rPr>
              <w:t>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pPr>
              <w:rPr>
                <w:strike/>
                <w:dstrike w:val="0"/>
              </w:rPr>
            </w:pPr>
            <w:r>
              <w:rPr>
                <w:rFonts w:hint="eastAsia" w:ascii="宋体" w:hAnsi="宋体"/>
                <w:b/>
                <w:strike/>
                <w:dstrike w:val="0"/>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bl>
    <w:tbl>
      <w:tblPr>
        <w:tblStyle w:val="11"/>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8294" w:type="dxa"/>
            <w:gridSpan w:val="3"/>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strike/>
                <w:dstrike w:val="0"/>
                <w:color w:val="0000FF"/>
                <w:szCs w:val="21"/>
              </w:rPr>
            </w:pPr>
            <w:r>
              <w:rPr>
                <w:rFonts w:hint="eastAsia"/>
                <w:b/>
                <w:bCs/>
                <w:strike/>
                <w:dstrike w:val="0"/>
                <w:color w:val="0000FF"/>
              </w:rPr>
              <w:t>远程审核的有效性评价（适用时）</w:t>
            </w: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strike/>
                <w:dstrike w:val="0"/>
                <w:color w:val="0000FF"/>
                <w:szCs w:val="21"/>
              </w:rPr>
            </w:pP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8"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inline distT="0" distB="0" distL="114300" distR="114300">
                  <wp:extent cx="988695" cy="572770"/>
                  <wp:effectExtent l="0" t="0" r="1905" b="11430"/>
                  <wp:docPr id="2" name="图片 2" descr="肖新龙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新龙03"/>
                          <pic:cNvPicPr>
                            <a:picLocks noChangeAspect="1"/>
                          </pic:cNvPicPr>
                        </pic:nvPicPr>
                        <pic:blipFill>
                          <a:blip r:embed="rId6"/>
                          <a:stretch>
                            <a:fillRect/>
                          </a:stretch>
                        </pic:blipFill>
                        <pic:spPr>
                          <a:xfrm>
                            <a:off x="0" y="0"/>
                            <a:ext cx="988695" cy="572770"/>
                          </a:xfrm>
                          <a:prstGeom prst="rect">
                            <a:avLst/>
                          </a:prstGeom>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2022-07-27</w:t>
            </w:r>
            <w:bookmarkStart w:id="41" w:name="_GoBack"/>
            <w:bookmarkEnd w:id="41"/>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pPr>
        <w:rPr>
          <w:rFonts w:hint="eastAsia"/>
        </w:rPr>
      </w:pPr>
      <w:r>
        <w:rPr>
          <w:rFonts w:hint="eastAsia"/>
        </w:rPr>
        <w:t xml:space="preserve">5. 对子证书/证书附件要求的组织，除在末次会议上确定注册范围外，还须附上子证书/证书附件的文字表达。(可另附页)  </w:t>
      </w:r>
    </w:p>
    <w:p>
      <w:pPr>
        <w:rPr>
          <w:rFonts w:hint="eastAsia"/>
        </w:rPr>
      </w:pPr>
      <w:r>
        <w:rPr>
          <w:rFonts w:hint="eastAsia"/>
        </w:rPr>
        <w:br w:type="page"/>
      </w: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Layout w:type="autofit"/>
        <w:tblCellMar>
          <w:top w:w="0" w:type="dxa"/>
          <w:left w:w="108" w:type="dxa"/>
          <w:bottom w:w="0" w:type="dxa"/>
          <w:right w:w="108" w:type="dxa"/>
        </w:tblCellMar>
      </w:tblPr>
      <w:tblGrid>
        <w:gridCol w:w="680"/>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c>
          <w:tcPr>
            <w:tcW w:w="680" w:type="dxa"/>
            <w:shd w:val="clear" w:color="auto" w:fill="D6E3BC" w:themeFill="accent3" w:themeFillTint="66"/>
          </w:tcPr>
          <w:p>
            <w:pPr>
              <w:shd w:val="clear" w:color="auto"/>
            </w:pPr>
            <w:r>
              <w:rPr>
                <w:rFonts w:hint="eastAsia"/>
              </w:rPr>
              <w:t>审核周期</w:t>
            </w:r>
          </w:p>
        </w:tc>
        <w:tc>
          <w:tcPr>
            <w:tcW w:w="9282" w:type="dxa"/>
            <w:shd w:val="clear" w:color="auto" w:fill="D6E3BC" w:themeFill="accent3" w:themeFillTint="66"/>
          </w:tcPr>
          <w:p>
            <w:pPr>
              <w:shd w:val="clear" w:color="auto"/>
              <w:rPr>
                <w:rFonts w:hint="default" w:eastAsia="宋体"/>
                <w:lang w:val="en-US" w:eastAsia="zh-CN"/>
              </w:rPr>
            </w:pPr>
            <w:r>
              <w:rPr>
                <w:rFonts w:hint="eastAsia"/>
              </w:rPr>
              <w:t xml:space="preserve"> </w:t>
            </w:r>
            <w:r>
              <w:rPr>
                <w:rFonts w:hint="eastAsia"/>
              </w:rPr>
              <w:sym w:font="Wingdings 2" w:char="0052"/>
            </w:r>
            <w:r>
              <w:rPr>
                <w:rFonts w:hint="eastAsia"/>
              </w:rPr>
              <w:t xml:space="preserve">FSMS体系建立以来   </w:t>
            </w:r>
            <w:r>
              <w:rPr>
                <w:rFonts w:hint="eastAsia"/>
              </w:rPr>
              <w:sym w:font="Wingdings 2" w:char="00A3"/>
            </w:r>
            <w:r>
              <w:rPr>
                <w:rFonts w:hint="eastAsia"/>
              </w:rPr>
              <w:t xml:space="preserve">定期（近一年）  </w:t>
            </w:r>
            <w:r>
              <w:rPr>
                <w:rFonts w:hint="eastAsia"/>
              </w:rPr>
              <w:sym w:font="Wingdings 2" w:char="00A3"/>
            </w:r>
            <w:r>
              <w:rPr>
                <w:rFonts w:hint="eastAsia"/>
              </w:rPr>
              <w:t>其他</w:t>
            </w:r>
            <w:r>
              <w:rPr>
                <w:rFonts w:hint="eastAsia"/>
                <w:lang w:eastAsia="zh-CN"/>
              </w:rPr>
              <w:t>——</w:t>
            </w:r>
            <w:r>
              <w:rPr>
                <w:rFonts w:hint="eastAsia"/>
                <w:lang w:val="en-US" w:eastAsia="zh-CN"/>
              </w:rPr>
              <w:t>审核周期内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c>
          <w:tcPr>
            <w:tcW w:w="680" w:type="dxa"/>
            <w:shd w:val="clear" w:color="auto" w:fill="D6E3BC" w:themeFill="accent3" w:themeFillTint="66"/>
          </w:tcPr>
          <w:p>
            <w:pPr>
              <w:shd w:val="clear" w:color="auto"/>
            </w:pPr>
            <w:r>
              <w:rPr>
                <w:rFonts w:hint="eastAsia"/>
              </w:rPr>
              <w:t>体系要素</w:t>
            </w:r>
          </w:p>
        </w:tc>
        <w:tc>
          <w:tcPr>
            <w:tcW w:w="9282" w:type="dxa"/>
            <w:shd w:val="clear" w:color="auto" w:fill="D6E3BC" w:themeFill="accent3" w:themeFillTint="66"/>
          </w:tcPr>
          <w:p>
            <w:pPr>
              <w:shd w:val="clear" w:color="auto"/>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2242" w:hRule="atLeast"/>
        </w:trPr>
        <w:tc>
          <w:tcPr>
            <w:tcW w:w="680" w:type="dxa"/>
            <w:vMerge w:val="restart"/>
            <w:shd w:val="clear" w:color="auto" w:fill="D6E3BC" w:themeFill="accent3" w:themeFillTint="66"/>
          </w:tcPr>
          <w:p>
            <w:pPr>
              <w:shd w:val="clear" w:color="auto"/>
            </w:pPr>
            <w:r>
              <w:rPr>
                <w:rFonts w:hint="eastAsia"/>
              </w:rPr>
              <w:t>组织环境</w:t>
            </w:r>
          </w:p>
        </w:tc>
        <w:tc>
          <w:tcPr>
            <w:tcW w:w="9282" w:type="dxa"/>
            <w:shd w:val="clear" w:color="auto" w:fill="D6E3BC" w:themeFill="accent3" w:themeFillTint="66"/>
          </w:tcPr>
          <w:p>
            <w:pPr>
              <w:shd w:val="clear" w:color="auto"/>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ind w:firstLine="1260" w:firstLineChars="600"/>
                  </w:pPr>
                </w:p>
              </w:tc>
              <w:tc>
                <w:tcPr>
                  <w:tcW w:w="7375" w:type="dxa"/>
                </w:tcPr>
                <w:p>
                  <w:pPr>
                    <w:shd w:val="clear" w:color="auto"/>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pPr>
                  <w:r>
                    <w:rPr>
                      <w:rFonts w:hint="eastAsia"/>
                    </w:rPr>
                    <w:t>外部环境</w:t>
                  </w:r>
                </w:p>
              </w:tc>
              <w:tc>
                <w:tcPr>
                  <w:tcW w:w="7375" w:type="dxa"/>
                </w:tcPr>
                <w:p>
                  <w:pPr>
                    <w:shd w:val="clear" w:color="auto"/>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经济环境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政治环境□</w:t>
                  </w:r>
                  <w:r>
                    <w:rPr>
                      <w:rFonts w:hint="eastAsia"/>
                      <w:color w:val="000000"/>
                      <w:szCs w:val="21"/>
                    </w:rPr>
                    <w:t xml:space="preserve">网络安全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color w:val="000000"/>
                      <w:szCs w:val="21"/>
                    </w:rPr>
                    <w:t xml:space="preserve">食品欺诈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color w:val="000000"/>
                      <w:szCs w:val="21"/>
                    </w:rPr>
                    <w:t xml:space="preserve">食品防护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pPr>
                  <w:r>
                    <w:rPr>
                      <w:rFonts w:hint="eastAsia"/>
                    </w:rPr>
                    <w:t>内部环境</w:t>
                  </w:r>
                </w:p>
              </w:tc>
              <w:tc>
                <w:tcPr>
                  <w:tcW w:w="7375" w:type="dxa"/>
                </w:tcPr>
                <w:p>
                  <w:pPr>
                    <w:shd w:val="clear" w:color="auto"/>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绩效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工艺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□其他 </w:t>
                  </w: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284"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rPr>
                      <w:highlight w:val="cyan"/>
                    </w:rPr>
                  </w:pPr>
                  <w:r>
                    <w:rPr>
                      <w:rFonts w:hint="eastAsia"/>
                    </w:rPr>
                    <w:t>重要的相关方</w:t>
                  </w:r>
                </w:p>
              </w:tc>
              <w:tc>
                <w:tcPr>
                  <w:tcW w:w="6912" w:type="dxa"/>
                </w:tcPr>
                <w:p>
                  <w:pPr>
                    <w:shd w:val="clear" w:color="auto"/>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主管部门</w:t>
                  </w:r>
                </w:p>
              </w:tc>
              <w:tc>
                <w:tcPr>
                  <w:tcW w:w="6912" w:type="dxa"/>
                </w:tcPr>
                <w:p>
                  <w:pPr>
                    <w:shd w:val="clear" w:color="auto"/>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供方</w:t>
                  </w:r>
                </w:p>
              </w:tc>
              <w:tc>
                <w:tcPr>
                  <w:tcW w:w="6912" w:type="dxa"/>
                </w:tcPr>
                <w:p>
                  <w:pPr>
                    <w:shd w:val="clear" w:color="auto"/>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顾客</w:t>
                  </w:r>
                </w:p>
              </w:tc>
              <w:tc>
                <w:tcPr>
                  <w:tcW w:w="6912" w:type="dxa"/>
                </w:tcPr>
                <w:p>
                  <w:pPr>
                    <w:shd w:val="clear" w:color="auto"/>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消费者</w:t>
                  </w:r>
                </w:p>
              </w:tc>
              <w:tc>
                <w:tcPr>
                  <w:tcW w:w="6912" w:type="dxa"/>
                </w:tcPr>
                <w:p>
                  <w:pPr>
                    <w:shd w:val="clear" w:color="auto"/>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员工</w:t>
                  </w:r>
                </w:p>
              </w:tc>
              <w:tc>
                <w:tcPr>
                  <w:tcW w:w="6912" w:type="dxa"/>
                </w:tcPr>
                <w:p>
                  <w:pPr>
                    <w:shd w:val="clear" w:color="auto"/>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pPr>
                  <w:r>
                    <w:rPr>
                      <w:rFonts w:hint="eastAsia"/>
                    </w:rPr>
                    <w:sym w:font="Wingdings 2" w:char="00A3"/>
                  </w:r>
                  <w:r>
                    <w:rPr>
                      <w:rFonts w:hint="eastAsia"/>
                    </w:rPr>
                    <w:t>投资方</w:t>
                  </w:r>
                </w:p>
              </w:tc>
              <w:tc>
                <w:tcPr>
                  <w:tcW w:w="6912" w:type="dxa"/>
                </w:tcPr>
                <w:p>
                  <w:pPr>
                    <w:shd w:val="clear" w:color="auto"/>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A3"/>
                  </w:r>
                  <w:r>
                    <w:rPr>
                      <w:rFonts w:hint="eastAsia"/>
                    </w:rPr>
                    <w:t>其他</w:t>
                  </w:r>
                </w:p>
              </w:tc>
              <w:tc>
                <w:tcPr>
                  <w:tcW w:w="6912" w:type="dxa"/>
                </w:tcPr>
                <w:p>
                  <w:pPr>
                    <w:shd w:val="clear" w:color="auto"/>
                    <w:rPr>
                      <w:rFonts w:hint="eastAsia" w:eastAsia="宋体"/>
                      <w:lang w:val="en-US" w:eastAsia="zh-CN"/>
                    </w:rPr>
                  </w:pPr>
                </w:p>
              </w:tc>
            </w:tr>
          </w:tbl>
          <w:p>
            <w:pPr>
              <w:shd w:val="clear" w:color="auto"/>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284"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pPr>
            <w:r>
              <w:rPr>
                <w:rFonts w:hint="eastAsia"/>
              </w:rPr>
              <w:sym w:font="Wingdings 2" w:char="0052"/>
            </w:r>
            <w:r>
              <w:rPr>
                <w:rFonts w:hint="eastAsia"/>
              </w:rPr>
              <w:t xml:space="preserve">特种设备管理 ☑控制措施组合确认  ☑PRP和危害控制措施的效果验证  </w:t>
            </w:r>
            <w:r>
              <w:rPr>
                <w:rFonts w:hint="eastAsia" w:ascii="Segoe UI Symbol" w:hAnsi="Segoe UI Symbol" w:cs="Segoe UI Symbol"/>
                <w:lang w:eastAsia="zh-CN"/>
              </w:rPr>
              <w:t>□</w:t>
            </w:r>
            <w:r>
              <w:rPr>
                <w:rFonts w:hint="eastAsia"/>
              </w:rPr>
              <w:t>其他——车辆管理</w:t>
            </w:r>
          </w:p>
          <w:p>
            <w:pPr>
              <w:shd w:val="clear" w:color="auto"/>
              <w:spacing w:before="40" w:after="40"/>
            </w:pPr>
          </w:p>
          <w:p>
            <w:pPr>
              <w:shd w:val="clear" w:color="auto"/>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根据实际情况选择</w:t>
            </w:r>
            <w:r>
              <w:rPr>
                <w:rFonts w:hint="eastAsia"/>
                <w:b/>
                <w:bCs/>
                <w:highlight w:val="none"/>
                <w:lang w:val="en-GB"/>
              </w:rPr>
              <w:t>）</w:t>
            </w:r>
          </w:p>
          <w:p>
            <w:pPr>
              <w:shd w:val="clear"/>
              <w:spacing w:before="40" w:after="40"/>
              <w:rPr>
                <w:highlight w:val="none"/>
              </w:rPr>
            </w:pPr>
            <w:r>
              <w:rPr>
                <w:rFonts w:hint="eastAsia"/>
                <w:highlight w:val="none"/>
              </w:rPr>
              <w:t>□建立FSMS □危害分析 □制订PRP和OPRP、HACCP</w:t>
            </w:r>
            <w:r>
              <w:rPr>
                <w:rFonts w:hint="eastAsia"/>
                <w:highlight w:val="none"/>
                <w:lang w:val="en-US" w:eastAsia="zh-CN"/>
              </w:rPr>
              <w:t xml:space="preserve">  </w:t>
            </w:r>
            <w:r>
              <w:rPr>
                <w:rFonts w:hint="eastAsia"/>
                <w:highlight w:val="none"/>
              </w:rPr>
              <w:t xml:space="preserve">计划 □生产/服务过程  </w:t>
            </w:r>
            <w:r>
              <w:rPr>
                <w:rFonts w:hint="eastAsia" w:ascii="Segoe UI Symbol" w:hAnsi="Segoe UI Symbol" w:cs="Segoe UI Symbol"/>
                <w:highlight w:val="none"/>
                <w:lang w:eastAsia="zh-CN"/>
              </w:rPr>
              <w:t>□</w:t>
            </w:r>
            <w:r>
              <w:rPr>
                <w:rFonts w:hint="eastAsia"/>
                <w:highlight w:val="none"/>
              </w:rPr>
              <w:t xml:space="preserve">产品运输 </w:t>
            </w:r>
          </w:p>
          <w:p>
            <w:pPr>
              <w:shd w:val="clear"/>
              <w:spacing w:before="40" w:after="40"/>
              <w:jc w:val="left"/>
              <w:rPr>
                <w:rFonts w:hint="eastAsia" w:eastAsia="宋体"/>
                <w:highlight w:val="none"/>
                <w:lang w:val="en-US" w:eastAsia="zh-CN"/>
              </w:rPr>
            </w:pPr>
            <w:r>
              <w:rPr>
                <w:rFonts w:hint="eastAsia"/>
                <w:highlight w:val="none"/>
              </w:rPr>
              <w:t>□设备维修   □人员培训 □PRP和OPRP、HACCP验证</w:t>
            </w:r>
            <w:r>
              <w:rPr>
                <w:rFonts w:hint="eastAsia"/>
                <w:highlight w:val="none"/>
                <w:lang w:val="en-US" w:eastAsia="zh-CN"/>
              </w:rPr>
              <w:t xml:space="preserve">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rPr>
              <w:t>—</w:t>
            </w:r>
            <w:r>
              <w:rPr>
                <w:rFonts w:hint="eastAsia"/>
                <w:color w:val="000000"/>
                <w:highlight w:val="none"/>
                <w:u w:val="single"/>
                <w:lang w:val="en-US" w:eastAsia="zh-CN"/>
              </w:rPr>
              <w:t>无</w:t>
            </w:r>
          </w:p>
          <w:p>
            <w:pPr>
              <w:pStyle w:val="2"/>
              <w:shd w:val="clear"/>
              <w:ind w:left="0" w:leftChars="0" w:firstLine="0" w:firstLineChars="0"/>
              <w:rPr>
                <w:rFonts w:hint="eastAsia"/>
                <w:lang w:val="en-GB"/>
              </w:rPr>
            </w:pPr>
          </w:p>
          <w:p>
            <w:pPr>
              <w:shd w:val="clear" w:color="auto"/>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292" w:hRule="atLeast"/>
        </w:trPr>
        <w:tc>
          <w:tcPr>
            <w:tcW w:w="680" w:type="dxa"/>
            <w:vMerge w:val="restart"/>
            <w:shd w:val="clear" w:color="auto" w:fill="D6E3BC" w:themeFill="accent3" w:themeFillTint="66"/>
          </w:tcPr>
          <w:p>
            <w:pPr>
              <w:shd w:val="clear" w:color="auto"/>
            </w:pPr>
            <w:r>
              <w:rPr>
                <w:rFonts w:hint="eastAsia"/>
              </w:rPr>
              <w:t>领导作用</w:t>
            </w:r>
          </w:p>
        </w:tc>
        <w:tc>
          <w:tcPr>
            <w:tcW w:w="9282" w:type="dxa"/>
            <w:shd w:val="clear" w:color="auto" w:fill="D6E3BC" w:themeFill="accent3" w:themeFillTint="66"/>
          </w:tcPr>
          <w:p>
            <w:pPr>
              <w:shd w:val="clear" w:color="auto"/>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rPr>
                <w:rFonts w:hint="eastAsia"/>
              </w:rPr>
            </w:pPr>
            <w:r>
              <w:rPr>
                <w:rFonts w:hint="eastAsia"/>
              </w:rPr>
              <w:t>最高管理者制定了文件化的食品安全管理体系方针：</w:t>
            </w:r>
          </w:p>
          <w:p>
            <w:pPr>
              <w:pStyle w:val="15"/>
              <w:rPr>
                <w:rFonts w:hint="eastAsia"/>
              </w:rPr>
            </w:pPr>
          </w:p>
          <w:p>
            <w:pPr>
              <w:shd w:val="clear" w:color="auto"/>
              <w:rPr>
                <w:rFonts w:hint="eastAsia" w:ascii="宋体" w:hAnsi="宋体"/>
                <w:b/>
                <w:bCs/>
                <w:color w:val="0000FF"/>
                <w:sz w:val="24"/>
                <w:u w:val="single"/>
              </w:rPr>
            </w:pPr>
            <w:r>
              <w:rPr>
                <w:rFonts w:hint="eastAsia" w:asciiTheme="minorEastAsia" w:hAnsiTheme="minorEastAsia" w:cstheme="minorEastAsia"/>
                <w:color w:val="0000FF"/>
                <w:sz w:val="24"/>
                <w:szCs w:val="24"/>
                <w:u w:val="single"/>
                <w:lang w:val="en-US" w:eastAsia="zh-CN"/>
              </w:rPr>
              <w:t>“</w:t>
            </w:r>
            <w:r>
              <w:rPr>
                <w:rFonts w:hint="eastAsia" w:asciiTheme="minorEastAsia" w:hAnsiTheme="minorEastAsia" w:cstheme="minorEastAsia"/>
                <w:b/>
                <w:bCs/>
                <w:color w:val="0000FF"/>
                <w:sz w:val="24"/>
                <w:szCs w:val="24"/>
                <w:u w:val="single"/>
                <w:lang w:val="en-US" w:eastAsia="zh-CN"/>
              </w:rPr>
              <w:t>食品安全为先、诚信经营为本、不断持续改进、精心精细，生产安全绿色健康食品。</w:t>
            </w:r>
            <w:r>
              <w:rPr>
                <w:rFonts w:hint="eastAsia" w:ascii="宋体" w:hAnsi="宋体"/>
                <w:b/>
                <w:bCs/>
                <w:color w:val="0000FF"/>
                <w:sz w:val="24"/>
                <w:u w:val="single"/>
              </w:rPr>
              <w:t>”</w:t>
            </w:r>
          </w:p>
          <w:p>
            <w:pPr>
              <w:pStyle w:val="6"/>
              <w:rPr>
                <w:rFonts w:hint="eastAsia"/>
              </w:rPr>
            </w:pPr>
          </w:p>
          <w:p>
            <w:pPr>
              <w:shd w:val="clear" w:color="auto"/>
              <w:ind w:firstLine="210" w:firstLineChars="100"/>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pPr>
            <w:r>
              <w:rPr>
                <w:rFonts w:hint="eastAsia"/>
              </w:rPr>
              <w:t>最高管理者确定了组织架构及相关岗位的职责、权限，并进行了全员的沟通和理解；</w:t>
            </w:r>
          </w:p>
          <w:p>
            <w:pPr>
              <w:shd w:val="clear" w:color="auto"/>
              <w:rPr>
                <w:rFonts w:hint="default" w:eastAsia="宋体"/>
                <w:lang w:val="en-US" w:eastAsia="zh-CN"/>
              </w:rPr>
            </w:pPr>
            <w:r>
              <w:rPr>
                <w:rFonts w:hint="eastAsia"/>
              </w:rPr>
              <w:t>FSMS的主管部门是——</w:t>
            </w:r>
            <w:r>
              <w:rPr>
                <w:rFonts w:hint="eastAsia"/>
                <w:lang w:val="en-US" w:eastAsia="zh-CN"/>
              </w:rPr>
              <w:t>食品安全小组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90"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rPr>
                <w:rFonts w:hint="default"/>
                <w:u w:val="single"/>
                <w:lang w:val="en-US" w:eastAsia="zh-CN"/>
              </w:rPr>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 xml:space="preserve">张占平 </w:t>
            </w:r>
            <w:r>
              <w:rPr>
                <w:rFonts w:hint="eastAsia"/>
                <w:u w:val="none"/>
              </w:rPr>
              <w:t xml:space="preserve"> </w:t>
            </w:r>
            <w:r>
              <w:rPr>
                <w:rFonts w:hint="eastAsia" w:ascii="Wingdings" w:hAnsi="Wingdings"/>
                <w:u w:val="none"/>
              </w:rPr>
              <w:sym w:font="Wingdings 2" w:char="0052"/>
            </w:r>
            <w:r>
              <w:rPr>
                <w:rFonts w:hint="eastAsia"/>
                <w:u w:val="none"/>
              </w:rPr>
              <w:t>先生</w:t>
            </w:r>
            <w:r>
              <w:rPr>
                <w:rFonts w:hint="eastAsia"/>
              </w:rPr>
              <w:t>/</w:t>
            </w:r>
            <w:r>
              <w:rPr>
                <w:rFonts w:hint="eastAsia"/>
                <w:u w:val="none"/>
              </w:rPr>
              <w:t xml:space="preserve"> </w:t>
            </w:r>
            <w:r>
              <w:rPr>
                <w:rFonts w:hint="eastAsia" w:ascii="Wingdings" w:hAnsi="Wingdings"/>
                <w:u w:val="none"/>
              </w:rPr>
              <w:sym w:font="Wingdings 2" w:char="00A3"/>
            </w:r>
            <w:r>
              <w:rPr>
                <w:rFonts w:hint="eastAsia"/>
              </w:rPr>
              <w:t>女士</w:t>
            </w:r>
            <w:r>
              <w:rPr>
                <w:rFonts w:hint="eastAsia"/>
                <w:lang w:eastAsia="zh-CN"/>
              </w:rPr>
              <w:t>；</w:t>
            </w:r>
          </w:p>
          <w:p>
            <w:pPr>
              <w:shd w:val="clear" w:color="auto"/>
            </w:pPr>
            <w:r>
              <w:rPr>
                <w:rFonts w:hint="eastAsia"/>
              </w:rPr>
              <w:t>其日常工作职责为——</w:t>
            </w: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863" w:hRule="atLeast"/>
        </w:trPr>
        <w:tc>
          <w:tcPr>
            <w:tcW w:w="680" w:type="dxa"/>
            <w:vMerge w:val="restart"/>
            <w:shd w:val="clear" w:color="auto" w:fill="D6E3BC" w:themeFill="accent3" w:themeFillTint="66"/>
          </w:tcPr>
          <w:p>
            <w:pPr>
              <w:shd w:val="clear" w:color="auto"/>
            </w:pPr>
            <w:r>
              <w:rPr>
                <w:rFonts w:hint="eastAsia"/>
              </w:rPr>
              <w:t>策划</w:t>
            </w:r>
          </w:p>
        </w:tc>
        <w:tc>
          <w:tcPr>
            <w:tcW w:w="9282" w:type="dxa"/>
            <w:shd w:val="clear" w:color="auto" w:fill="D6E3BC" w:themeFill="accent3" w:themeFillTint="66"/>
          </w:tcPr>
          <w:p>
            <w:pPr>
              <w:shd w:val="clear" w:color="auto"/>
            </w:pPr>
            <w:r>
              <w:rPr>
                <w:rFonts w:hint="eastAsia"/>
              </w:rPr>
              <w:t>在策划管理体系时，组织确定了需要应对的风险和机遇及应对这些风险和机遇的措施；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2"/>
              <w:gridCol w:w="4583"/>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主要的风险描述</w:t>
                  </w:r>
                </w:p>
              </w:tc>
              <w:tc>
                <w:tcPr>
                  <w:tcW w:w="4583"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应对措施</w:t>
                  </w:r>
                </w:p>
              </w:tc>
              <w:tc>
                <w:tcPr>
                  <w:tcW w:w="1717"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vAlign w:val="center"/>
                </w:tcPr>
                <w:p>
                  <w:pPr>
                    <w:widowControl/>
                    <w:spacing w:line="360" w:lineRule="exact"/>
                    <w:jc w:val="left"/>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Cs w:val="21"/>
                      <w:highlight w:val="none"/>
                      <w:lang w:val="en-US" w:eastAsia="zh-CN" w:bidi="ar"/>
                    </w:rPr>
                    <w:t>产品存在食品安全问题</w:t>
                  </w:r>
                </w:p>
              </w:tc>
              <w:tc>
                <w:tcPr>
                  <w:tcW w:w="4583" w:type="dxa"/>
                  <w:vAlign w:val="top"/>
                </w:tcPr>
                <w:p>
                  <w:pPr>
                    <w:numPr>
                      <w:ilvl w:val="0"/>
                      <w:numId w:val="2"/>
                    </w:numPr>
                    <w:rPr>
                      <w:rFonts w:hint="default"/>
                      <w:highlight w:val="none"/>
                      <w:lang w:val="en-US" w:eastAsia="zh-CN"/>
                    </w:rPr>
                  </w:pPr>
                  <w:r>
                    <w:rPr>
                      <w:rFonts w:hint="eastAsia"/>
                      <w:highlight w:val="none"/>
                      <w:lang w:val="en-US" w:eastAsia="zh-CN"/>
                    </w:rPr>
                    <w:t>加强人员的培训；</w:t>
                  </w:r>
                </w:p>
                <w:p>
                  <w:pPr>
                    <w:pStyle w:val="2"/>
                    <w:numPr>
                      <w:ilvl w:val="0"/>
                      <w:numId w:val="2"/>
                    </w:numPr>
                    <w:tabs>
                      <w:tab w:val="left" w:pos="540"/>
                    </w:tabs>
                    <w:ind w:left="0" w:leftChars="0" w:firstLine="0" w:firstLineChars="0"/>
                    <w:rPr>
                      <w:rFonts w:hint="default"/>
                      <w:highlight w:val="none"/>
                      <w:lang w:val="en-US" w:eastAsia="zh-CN"/>
                    </w:rPr>
                  </w:pPr>
                  <w:r>
                    <w:rPr>
                      <w:rFonts w:hint="eastAsia"/>
                      <w:highlight w:val="none"/>
                      <w:lang w:val="en-US" w:eastAsia="zh-CN"/>
                    </w:rPr>
                    <w:t>对于生产过程管理；</w:t>
                  </w:r>
                </w:p>
                <w:p>
                  <w:pPr>
                    <w:pStyle w:val="2"/>
                    <w:numPr>
                      <w:ilvl w:val="0"/>
                      <w:numId w:val="2"/>
                    </w:numPr>
                    <w:tabs>
                      <w:tab w:val="left" w:pos="540"/>
                    </w:tabs>
                    <w:ind w:left="0" w:leftChars="0" w:firstLine="0" w:firstLineChars="0"/>
                    <w:rPr>
                      <w:rFonts w:hint="default" w:ascii="Times New Roman" w:hAnsi="Times New Roman" w:eastAsia="宋体" w:cs="Times New Roman"/>
                      <w:b/>
                      <w:kern w:val="0"/>
                      <w:sz w:val="21"/>
                      <w:szCs w:val="24"/>
                      <w:highlight w:val="none"/>
                      <w:lang w:val="en-US" w:eastAsia="zh-CN" w:bidi="ar-SA"/>
                    </w:rPr>
                  </w:pPr>
                  <w:r>
                    <w:rPr>
                      <w:rFonts w:hint="eastAsia"/>
                      <w:highlight w:val="none"/>
                      <w:lang w:val="en-US" w:eastAsia="zh-CN"/>
                    </w:rPr>
                    <w:t>源头控制山楂农残和重金属</w:t>
                  </w:r>
                </w:p>
              </w:tc>
              <w:tc>
                <w:tcPr>
                  <w:tcW w:w="1717"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vAlign w:val="top"/>
                </w:tcPr>
                <w:p>
                  <w:pPr>
                    <w:rPr>
                      <w:rFonts w:hint="eastAsia" w:ascii="Times New Roman" w:hAnsi="Times New Roman" w:eastAsia="宋体" w:cs="Times New Roman"/>
                      <w:kern w:val="2"/>
                      <w:sz w:val="21"/>
                      <w:szCs w:val="24"/>
                      <w:lang w:val="en-US" w:eastAsia="zh-CN" w:bidi="ar-SA"/>
                    </w:rPr>
                  </w:pPr>
                </w:p>
              </w:tc>
              <w:tc>
                <w:tcPr>
                  <w:tcW w:w="4583" w:type="dxa"/>
                  <w:vAlign w:val="top"/>
                </w:tcPr>
                <w:p>
                  <w:pPr>
                    <w:pStyle w:val="15"/>
                    <w:rPr>
                      <w:rFonts w:hint="eastAsia" w:ascii="Times New Roman" w:hAnsi="Times New Roman" w:eastAsia="宋体" w:cs="Times New Roman"/>
                      <w:bCs w:val="0"/>
                      <w:spacing w:val="0"/>
                      <w:kern w:val="2"/>
                      <w:sz w:val="21"/>
                      <w:szCs w:val="24"/>
                      <w:lang w:val="en-US" w:eastAsia="zh-CN" w:bidi="ar-SA"/>
                    </w:rPr>
                  </w:pPr>
                </w:p>
              </w:tc>
              <w:tc>
                <w:tcPr>
                  <w:tcW w:w="1717" w:type="dxa"/>
                  <w:vAlign w:val="top"/>
                </w:tcPr>
                <w:p>
                  <w:pPr>
                    <w:shd w:val="clear"/>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vAlign w:val="top"/>
                </w:tcPr>
                <w:p>
                  <w:pPr>
                    <w:shd w:val="clear"/>
                    <w:rPr>
                      <w:rFonts w:hint="eastAsia"/>
                      <w:szCs w:val="24"/>
                      <w:lang w:val="en-US" w:eastAsia="zh-CN"/>
                    </w:rPr>
                  </w:pPr>
                </w:p>
              </w:tc>
              <w:tc>
                <w:tcPr>
                  <w:tcW w:w="4583" w:type="dxa"/>
                  <w:vAlign w:val="top"/>
                </w:tcPr>
                <w:p>
                  <w:pPr>
                    <w:pStyle w:val="15"/>
                    <w:numPr>
                      <w:ilvl w:val="0"/>
                      <w:numId w:val="0"/>
                    </w:numPr>
                    <w:shd w:val="clear"/>
                    <w:ind w:leftChars="0"/>
                    <w:rPr>
                      <w:rFonts w:hint="eastAsia"/>
                      <w:lang w:val="en-US" w:eastAsia="zh-CN"/>
                    </w:rPr>
                  </w:pPr>
                </w:p>
              </w:tc>
              <w:tc>
                <w:tcPr>
                  <w:tcW w:w="1717" w:type="dxa"/>
                  <w:vAlign w:val="top"/>
                </w:tcPr>
                <w:p>
                  <w:pPr>
                    <w:shd w:val="clea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主要的机遇描述</w:t>
                  </w:r>
                </w:p>
              </w:tc>
              <w:tc>
                <w:tcPr>
                  <w:tcW w:w="4583"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应对措施</w:t>
                  </w:r>
                </w:p>
              </w:tc>
              <w:tc>
                <w:tcPr>
                  <w:tcW w:w="1717"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市场的不断增加的需求</w:t>
                  </w:r>
                </w:p>
              </w:tc>
              <w:tc>
                <w:tcPr>
                  <w:tcW w:w="4583" w:type="dxa"/>
                  <w:vAlign w:val="top"/>
                </w:tcPr>
                <w:p>
                  <w:pPr>
                    <w:numPr>
                      <w:ilvl w:val="0"/>
                      <w:numId w:val="3"/>
                    </w:numPr>
                    <w:ind w:leftChars="0"/>
                    <w:rPr>
                      <w:rFonts w:hint="eastAsia"/>
                      <w:highlight w:val="none"/>
                      <w:lang w:val="en-US" w:eastAsia="zh-CN"/>
                    </w:rPr>
                  </w:pPr>
                  <w:r>
                    <w:rPr>
                      <w:rFonts w:hint="eastAsia"/>
                      <w:highlight w:val="none"/>
                      <w:lang w:val="en-US" w:eastAsia="zh-CN"/>
                    </w:rPr>
                    <w:t>开发新的市场；</w:t>
                  </w:r>
                  <w:r>
                    <w:rPr>
                      <w:rFonts w:hint="eastAsia"/>
                      <w:lang w:val="en-US" w:eastAsia="zh-CN"/>
                    </w:rPr>
                    <w:t>赢得新客户</w:t>
                  </w:r>
                </w:p>
                <w:p>
                  <w:pPr>
                    <w:pStyle w:val="10"/>
                    <w:numPr>
                      <w:ilvl w:val="0"/>
                      <w:numId w:val="0"/>
                    </w:numPr>
                    <w:ind w:left="0" w:leftChars="0" w:firstLine="0" w:firstLineChars="0"/>
                    <w:rPr>
                      <w:rFonts w:hint="default" w:ascii="宋体" w:hAnsi="宋体" w:eastAsia="宋体" w:cs="Times New Roman"/>
                      <w:kern w:val="2"/>
                      <w:sz w:val="20"/>
                      <w:szCs w:val="20"/>
                      <w:highlight w:val="none"/>
                      <w:lang w:val="en-US" w:eastAsia="zh-CN" w:bidi="ar-SA"/>
                    </w:rPr>
                  </w:pPr>
                  <w:r>
                    <w:rPr>
                      <w:rFonts w:hint="eastAsia"/>
                      <w:highlight w:val="none"/>
                      <w:lang w:val="en-US" w:eastAsia="zh-CN"/>
                    </w:rPr>
                    <w:t>2）研发新的产品；</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vAlign w:val="top"/>
                </w:tcPr>
                <w:p>
                  <w:pPr>
                    <w:rPr>
                      <w:rFonts w:hint="default" w:ascii="Times New Roman" w:hAnsi="Times New Roman" w:eastAsia="宋体" w:cs="Times New Roman"/>
                      <w:kern w:val="2"/>
                      <w:sz w:val="21"/>
                      <w:szCs w:val="24"/>
                      <w:highlight w:val="none"/>
                      <w:lang w:val="en-US" w:eastAsia="zh-CN" w:bidi="ar-SA"/>
                    </w:rPr>
                  </w:pPr>
                </w:p>
              </w:tc>
              <w:tc>
                <w:tcPr>
                  <w:tcW w:w="4583" w:type="dxa"/>
                  <w:vAlign w:val="top"/>
                </w:tcPr>
                <w:p>
                  <w:pPr>
                    <w:pStyle w:val="10"/>
                    <w:numPr>
                      <w:ilvl w:val="0"/>
                      <w:numId w:val="0"/>
                    </w:numPr>
                    <w:ind w:leftChars="0"/>
                    <w:rPr>
                      <w:rFonts w:hint="eastAsia" w:ascii="宋体" w:hAnsi="宋体" w:eastAsia="宋体" w:cs="Times New Roman"/>
                      <w:kern w:val="2"/>
                      <w:sz w:val="20"/>
                      <w:szCs w:val="20"/>
                      <w:highlight w:val="none"/>
                      <w:lang w:val="en-US" w:eastAsia="zh-CN" w:bidi="ar-SA"/>
                    </w:rPr>
                  </w:pPr>
                </w:p>
              </w:tc>
              <w:tc>
                <w:tcPr>
                  <w:tcW w:w="1717" w:type="dxa"/>
                  <w:vAlign w:val="top"/>
                </w:tcPr>
                <w:p>
                  <w:pPr>
                    <w:rPr>
                      <w:rFonts w:ascii="Times New Roman" w:hAnsi="Times New Roman" w:eastAsia="宋体" w:cs="Times New Roman"/>
                      <w:kern w:val="2"/>
                      <w:sz w:val="21"/>
                      <w:szCs w:val="24"/>
                      <w:highlight w:val="none"/>
                      <w:lang w:val="en-US" w:eastAsia="zh-CN" w:bidi="ar-SA"/>
                    </w:rPr>
                  </w:pP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pPr>
            <w:r>
              <w:rPr>
                <w:rFonts w:hint="eastAsia"/>
              </w:rPr>
              <w:t>组织建立了与方针一致的文件化的食品安全管理目标。为实现总食品安全目标而建立的各层级食品安全目标具体、有针对性、可测量并且可实现。</w:t>
            </w:r>
          </w:p>
          <w:p>
            <w:pPr>
              <w:shd w:val="clear" w:color="auto"/>
              <w:rPr>
                <w:rFonts w:hint="eastAsia"/>
              </w:rPr>
            </w:pPr>
            <w:r>
              <w:rPr>
                <w:rFonts w:hint="eastAsia"/>
              </w:rPr>
              <w:t>总食品安全目标实现情况的评价，及其测量方法是：</w:t>
            </w:r>
          </w:p>
          <w:p>
            <w:pPr>
              <w:pStyle w:val="6"/>
              <w:shd w:val="clear"/>
              <w:rPr>
                <w:rFonts w:hint="eastAsia"/>
              </w:rPr>
            </w:pPr>
          </w:p>
          <w:tbl>
            <w:tblPr>
              <w:tblStyle w:val="11"/>
              <w:tblW w:w="9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7"/>
              <w:gridCol w:w="1067"/>
              <w:gridCol w:w="3062"/>
              <w:gridCol w:w="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577" w:type="dxa"/>
                  <w:shd w:val="clear" w:color="auto" w:fill="auto"/>
                </w:tcPr>
                <w:p>
                  <w:pPr>
                    <w:shd w:val="clear"/>
                    <w:rPr>
                      <w:rFonts w:ascii="宋体" w:hAnsi="宋体"/>
                      <w:szCs w:val="21"/>
                    </w:rPr>
                  </w:pPr>
                  <w:r>
                    <w:rPr>
                      <w:rFonts w:hint="eastAsia" w:ascii="宋体" w:hAnsi="宋体"/>
                      <w:szCs w:val="21"/>
                    </w:rPr>
                    <w:t>食品安全目标</w:t>
                  </w:r>
                </w:p>
              </w:tc>
              <w:tc>
                <w:tcPr>
                  <w:tcW w:w="1067" w:type="dxa"/>
                  <w:shd w:val="clear" w:color="auto" w:fill="auto"/>
                </w:tcPr>
                <w:p>
                  <w:pPr>
                    <w:shd w:val="clear"/>
                    <w:rPr>
                      <w:rFonts w:ascii="宋体" w:hAnsi="宋体"/>
                      <w:szCs w:val="21"/>
                    </w:rPr>
                  </w:pPr>
                  <w:r>
                    <w:rPr>
                      <w:rFonts w:hint="eastAsia" w:ascii="宋体" w:hAnsi="宋体"/>
                      <w:szCs w:val="21"/>
                    </w:rPr>
                    <w:t>计算方法</w:t>
                  </w:r>
                </w:p>
              </w:tc>
              <w:tc>
                <w:tcPr>
                  <w:tcW w:w="3062" w:type="dxa"/>
                  <w:shd w:val="clear" w:color="auto" w:fill="auto"/>
                </w:tcPr>
                <w:p>
                  <w:pPr>
                    <w:shd w:val="clear"/>
                    <w:rPr>
                      <w:rFonts w:ascii="宋体" w:hAnsi="宋体"/>
                      <w:szCs w:val="21"/>
                    </w:rPr>
                  </w:pPr>
                  <w:r>
                    <w:rPr>
                      <w:rFonts w:hint="eastAsia" w:ascii="宋体" w:hAnsi="宋体"/>
                      <w:szCs w:val="21"/>
                    </w:rPr>
                    <w:t>责任部门</w:t>
                  </w:r>
                </w:p>
              </w:tc>
              <w:tc>
                <w:tcPr>
                  <w:tcW w:w="2332"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color w:val="000000"/>
                      <w:szCs w:val="18"/>
                    </w:rPr>
                    <w:t>完成情况（</w:t>
                  </w:r>
                  <w:r>
                    <w:rPr>
                      <w:rFonts w:hint="eastAsia"/>
                      <w:color w:val="000000"/>
                      <w:szCs w:val="18"/>
                      <w:lang w:val="en-US" w:eastAsia="zh-CN"/>
                    </w:rPr>
                    <w:t>2022.04-2022.06</w:t>
                  </w:r>
                  <w:r>
                    <w:rPr>
                      <w:rFonts w:hint="eastAsia"/>
                      <w:color w:val="00000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577" w:type="dxa"/>
                  <w:shd w:val="clear" w:color="auto" w:fill="auto"/>
                  <w:vAlign w:val="center"/>
                </w:tcPr>
                <w:p>
                  <w:pPr>
                    <w:spacing w:line="480" w:lineRule="exact"/>
                    <w:rPr>
                      <w:rFonts w:hint="eastAsia" w:ascii="Times New Roman" w:hAnsi="Times New Roman" w:eastAsia="宋体" w:cs="Times New Roman"/>
                      <w:b/>
                      <w:bCs/>
                      <w:color w:val="0000FF"/>
                      <w:kern w:val="2"/>
                      <w:sz w:val="18"/>
                      <w:szCs w:val="18"/>
                      <w:lang w:val="en-US" w:eastAsia="zh-CN" w:bidi="ar-SA"/>
                    </w:rPr>
                  </w:pPr>
                  <w:r>
                    <w:rPr>
                      <w:rFonts w:hint="eastAsia" w:ascii="宋体" w:hAnsi="宋体"/>
                      <w:b/>
                      <w:bCs/>
                      <w:color w:val="0000FF"/>
                      <w:sz w:val="18"/>
                      <w:szCs w:val="18"/>
                      <w:highlight w:val="none"/>
                      <w:lang w:val="en-US" w:eastAsia="zh-CN"/>
                    </w:rPr>
                    <w:t>重大食品安全事故为0</w:t>
                  </w:r>
                </w:p>
              </w:tc>
              <w:tc>
                <w:tcPr>
                  <w:tcW w:w="1067" w:type="dxa"/>
                  <w:shd w:val="clear" w:color="auto" w:fill="auto"/>
                  <w:vAlign w:val="center"/>
                </w:tcPr>
                <w:p>
                  <w:pPr>
                    <w:rPr>
                      <w:rFonts w:hint="default" w:ascii="Times New Roman" w:hAnsi="Times New Roman" w:eastAsia="宋体" w:cs="Times New Roman"/>
                      <w:color w:val="0000FF"/>
                      <w:kern w:val="2"/>
                      <w:sz w:val="21"/>
                      <w:szCs w:val="21"/>
                      <w:lang w:val="en-GB" w:eastAsia="zh-CN" w:bidi="ar-SA"/>
                    </w:rPr>
                  </w:pPr>
                  <w:r>
                    <w:rPr>
                      <w:rFonts w:hint="eastAsia" w:eastAsia="宋体" w:cs="Times New Roman"/>
                      <w:color w:val="0000FF"/>
                      <w:kern w:val="2"/>
                      <w:sz w:val="21"/>
                      <w:szCs w:val="21"/>
                      <w:lang w:val="en-US" w:eastAsia="zh-CN" w:bidi="ar-SA"/>
                    </w:rPr>
                    <w:t>季度</w:t>
                  </w:r>
                </w:p>
              </w:tc>
              <w:tc>
                <w:tcPr>
                  <w:tcW w:w="3062" w:type="dxa"/>
                  <w:shd w:val="clear" w:color="auto" w:fill="auto"/>
                  <w:vAlign w:val="center"/>
                </w:tcPr>
                <w:p>
                  <w:pPr>
                    <w:rPr>
                      <w:rFonts w:hint="default" w:ascii="Times New Roman" w:hAnsi="Times New Roman" w:eastAsia="宋体" w:cs="Times New Roman"/>
                      <w:color w:val="0000FF"/>
                      <w:kern w:val="2"/>
                      <w:sz w:val="21"/>
                      <w:szCs w:val="21"/>
                      <w:lang w:val="en-GB" w:eastAsia="zh-CN" w:bidi="ar-SA"/>
                    </w:rPr>
                  </w:pPr>
                  <w:r>
                    <w:rPr>
                      <w:rFonts w:hint="eastAsia"/>
                      <w:color w:val="0000FF"/>
                      <w:szCs w:val="21"/>
                      <w:lang w:val="en-US" w:eastAsia="zh-CN"/>
                    </w:rPr>
                    <w:t>按照实际发生次数</w:t>
                  </w:r>
                </w:p>
              </w:tc>
              <w:tc>
                <w:tcPr>
                  <w:tcW w:w="2332"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577" w:type="dxa"/>
                  <w:shd w:val="clear" w:color="auto" w:fill="auto"/>
                  <w:vAlign w:val="center"/>
                </w:tcPr>
                <w:p>
                  <w:pPr>
                    <w:spacing w:line="480" w:lineRule="exact"/>
                    <w:rPr>
                      <w:rFonts w:hint="eastAsia" w:ascii="Times New Roman" w:hAnsi="Times New Roman" w:eastAsia="宋体" w:cs="Times New Roman"/>
                      <w:color w:val="0000FF"/>
                      <w:kern w:val="2"/>
                      <w:sz w:val="18"/>
                      <w:szCs w:val="18"/>
                      <w:lang w:val="en-US" w:eastAsia="zh-CN" w:bidi="ar-SA"/>
                    </w:rPr>
                  </w:pPr>
                  <w:r>
                    <w:rPr>
                      <w:rFonts w:hint="eastAsia" w:ascii="宋体" w:hAnsi="宋体"/>
                      <w:b/>
                      <w:bCs/>
                      <w:color w:val="0000FF"/>
                      <w:sz w:val="18"/>
                      <w:szCs w:val="18"/>
                      <w:highlight w:val="none"/>
                      <w:lang w:eastAsia="zh-CN"/>
                    </w:rPr>
                    <w:t>产品监督抽查合格率</w:t>
                  </w:r>
                  <w:r>
                    <w:rPr>
                      <w:rFonts w:hint="eastAsia" w:ascii="宋体" w:hAnsi="宋体"/>
                      <w:b/>
                      <w:bCs/>
                      <w:color w:val="0000FF"/>
                      <w:sz w:val="18"/>
                      <w:szCs w:val="18"/>
                      <w:highlight w:val="none"/>
                      <w:lang w:val="en-US" w:eastAsia="zh-CN"/>
                    </w:rPr>
                    <w:t>100%；</w:t>
                  </w:r>
                </w:p>
              </w:tc>
              <w:tc>
                <w:tcPr>
                  <w:tcW w:w="1067" w:type="dxa"/>
                  <w:shd w:val="clear" w:color="auto" w:fill="auto"/>
                  <w:vAlign w:val="center"/>
                </w:tcPr>
                <w:p>
                  <w:pPr>
                    <w:rPr>
                      <w:rFonts w:hint="eastAsia" w:ascii="Times New Roman" w:hAnsi="Times New Roman" w:eastAsia="宋体" w:cs="Times New Roman"/>
                      <w:color w:val="0000FF"/>
                      <w:kern w:val="2"/>
                      <w:sz w:val="21"/>
                      <w:szCs w:val="21"/>
                      <w:lang w:val="en-US" w:eastAsia="zh-CN" w:bidi="ar-SA"/>
                    </w:rPr>
                  </w:pPr>
                  <w:r>
                    <w:rPr>
                      <w:rFonts w:hint="eastAsia" w:cs="Times New Roman"/>
                      <w:color w:val="0000FF"/>
                      <w:kern w:val="2"/>
                      <w:sz w:val="21"/>
                      <w:szCs w:val="21"/>
                      <w:lang w:val="en-US" w:eastAsia="zh-CN" w:bidi="ar-SA"/>
                    </w:rPr>
                    <w:t>季度</w:t>
                  </w:r>
                </w:p>
              </w:tc>
              <w:tc>
                <w:tcPr>
                  <w:tcW w:w="3062" w:type="dxa"/>
                  <w:shd w:val="clear" w:color="auto" w:fill="auto"/>
                  <w:vAlign w:val="center"/>
                </w:tcPr>
                <w:p>
                  <w:pPr>
                    <w:rPr>
                      <w:rFonts w:hint="eastAsia" w:ascii="Times New Roman" w:hAnsi="Times New Roman" w:eastAsia="宋体" w:cs="Times New Roman"/>
                      <w:color w:val="0000FF"/>
                      <w:kern w:val="2"/>
                      <w:sz w:val="21"/>
                      <w:szCs w:val="21"/>
                      <w:lang w:val="en-US" w:eastAsia="zh-CN" w:bidi="ar-SA"/>
                    </w:rPr>
                  </w:pPr>
                  <w:r>
                    <w:rPr>
                      <w:rFonts w:hint="eastAsia"/>
                      <w:color w:val="0000FF"/>
                      <w:szCs w:val="21"/>
                      <w:lang w:val="en-US" w:eastAsia="zh-CN"/>
                    </w:rPr>
                    <w:t>抽查批次合格数</w:t>
                  </w:r>
                  <w:r>
                    <w:rPr>
                      <w:rFonts w:hint="eastAsia"/>
                      <w:color w:val="0000FF"/>
                      <w:szCs w:val="21"/>
                    </w:rPr>
                    <w:t>/</w:t>
                  </w:r>
                  <w:r>
                    <w:rPr>
                      <w:rFonts w:hint="eastAsia"/>
                      <w:color w:val="0000FF"/>
                      <w:szCs w:val="21"/>
                      <w:lang w:val="en-US" w:eastAsia="zh-CN"/>
                    </w:rPr>
                    <w:t>抽查总数</w:t>
                  </w:r>
                  <w:r>
                    <w:rPr>
                      <w:rFonts w:hint="eastAsia"/>
                      <w:color w:val="0000FF"/>
                      <w:szCs w:val="21"/>
                    </w:rPr>
                    <w:t>×100%</w:t>
                  </w:r>
                </w:p>
              </w:tc>
              <w:tc>
                <w:tcPr>
                  <w:tcW w:w="2332"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577" w:type="dxa"/>
                  <w:shd w:val="clear" w:color="auto" w:fill="auto"/>
                  <w:vAlign w:val="top"/>
                </w:tcPr>
                <w:p>
                  <w:pPr>
                    <w:pStyle w:val="28"/>
                    <w:spacing w:before="23"/>
                    <w:ind w:left="108" w:leftChars="0"/>
                    <w:rPr>
                      <w:rFonts w:hint="eastAsia" w:ascii="宋体" w:hAnsi="宋体" w:eastAsia="宋体" w:cs="宋体"/>
                      <w:kern w:val="2"/>
                      <w:sz w:val="21"/>
                      <w:szCs w:val="21"/>
                      <w:lang w:val="zh-CN" w:eastAsia="zh-CN" w:bidi="zh-CN"/>
                    </w:rPr>
                  </w:pPr>
                </w:p>
              </w:tc>
              <w:tc>
                <w:tcPr>
                  <w:tcW w:w="1067"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cyan"/>
                      <w:lang w:val="en-US" w:eastAsia="zh-CN" w:bidi="ar-SA"/>
                    </w:rPr>
                  </w:pPr>
                </w:p>
              </w:tc>
              <w:tc>
                <w:tcPr>
                  <w:tcW w:w="3062"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p>
              </w:tc>
              <w:tc>
                <w:tcPr>
                  <w:tcW w:w="2332"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p>
              </w:tc>
            </w:tr>
          </w:tbl>
          <w:p>
            <w:pPr>
              <w:pStyle w:val="2"/>
              <w:shd w:val="clear"/>
              <w:ind w:left="0" w:leftChars="0" w:firstLine="0" w:firstLineChars="0"/>
              <w:rPr>
                <w:rFonts w:hint="eastAsia"/>
              </w:rPr>
            </w:pPr>
          </w:p>
          <w:p>
            <w:pPr>
              <w:shd w:val="clear" w:color="auto"/>
              <w:rPr>
                <w:rFonts w:hint="eastAsia" w:eastAsia="宋体"/>
                <w:lang w:eastAsia="zh-CN"/>
              </w:rPr>
            </w:pPr>
            <w:r>
              <w:rPr>
                <w:rFonts w:hint="eastAsia"/>
              </w:rPr>
              <w:sym w:font="Wingdings 2" w:char="0052"/>
            </w:r>
            <w:r>
              <w:rPr>
                <w:rFonts w:hint="eastAsia"/>
              </w:rPr>
              <w:t>目标已实现</w:t>
            </w:r>
            <w:r>
              <w:rPr>
                <w:rFonts w:hint="eastAsia"/>
                <w:lang w:eastAsia="zh-CN"/>
              </w:rPr>
              <w:t>，</w:t>
            </w:r>
          </w:p>
          <w:p>
            <w:pPr>
              <w:shd w:val="clear" w:color="auto"/>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rPr>
                <w:rFonts w:hint="eastAsia" w:eastAsia="宋体"/>
                <w:lang w:val="en-US" w:eastAsia="zh-CN"/>
              </w:rPr>
            </w:pPr>
            <w:r>
              <w:rPr>
                <w:rFonts w:hint="eastAsia"/>
              </w:rPr>
              <w:t>组织对相关管理体系进行变更时，变更应按所策划的方式实施；审核周期内的重大变更有：</w:t>
            </w:r>
          </w:p>
          <w:p>
            <w:pPr>
              <w:shd w:val="clear" w:color="auto"/>
              <w:spacing w:before="40" w:after="40"/>
              <w:rPr>
                <w:rFonts w:hint="default"/>
                <w:lang w:val="en-US" w:eastAsia="zh-CN"/>
              </w:rPr>
            </w:pPr>
            <w:r>
              <w:rPr>
                <w:rFonts w:hint="eastAsia"/>
              </w:rPr>
              <w:sym w:font="Wingdings 2" w:char="0052"/>
            </w:r>
            <w:r>
              <w:rPr>
                <w:rFonts w:hint="eastAsia"/>
              </w:rPr>
              <w:t>无变更  □组织结构变更</w:t>
            </w:r>
            <w:r>
              <w:rPr>
                <w:rFonts w:hint="eastAsia"/>
                <w:lang w:val="en-US" w:eastAsia="zh-CN"/>
              </w:rPr>
              <w:t xml:space="preserve"> </w:t>
            </w:r>
            <w:r>
              <w:rPr>
                <w:rFonts w:hint="eastAsia"/>
              </w:rPr>
              <w:t xml:space="preserve"> □部门职责变更</w:t>
            </w:r>
            <w:r>
              <w:rPr>
                <w:rFonts w:hint="eastAsia"/>
                <w:lang w:val="en-US" w:eastAsia="zh-CN"/>
              </w:rPr>
              <w:t xml:space="preserve"> </w:t>
            </w:r>
            <w:r>
              <w:rPr>
                <w:rFonts w:hint="eastAsia"/>
              </w:rPr>
              <w:t xml:space="preserve"> □主要原材料 </w:t>
            </w:r>
            <w:r>
              <w:rPr>
                <w:rFonts w:hint="eastAsia"/>
                <w:lang w:val="en-US" w:eastAsia="zh-CN"/>
              </w:rPr>
              <w:t xml:space="preserve"> </w:t>
            </w:r>
            <w:r>
              <w:rPr>
                <w:rFonts w:hint="eastAsia"/>
              </w:rPr>
              <w:sym w:font="Wingdings 2" w:char="00A3"/>
            </w:r>
            <w:r>
              <w:rPr>
                <w:rFonts w:hint="eastAsia"/>
              </w:rPr>
              <w:t>关键人员</w:t>
            </w:r>
            <w:r>
              <w:rPr>
                <w:rFonts w:hint="eastAsia"/>
                <w:lang w:val="en-US" w:eastAsia="zh-CN"/>
              </w:rPr>
              <w:t xml:space="preserve">  </w:t>
            </w:r>
            <w:r>
              <w:rPr>
                <w:rFonts w:hint="eastAsia"/>
              </w:rPr>
              <w:t>□生产工艺/服务流程</w:t>
            </w:r>
            <w:r>
              <w:rPr>
                <w:rFonts w:hint="eastAsia"/>
                <w:lang w:val="en-US" w:eastAsia="zh-CN"/>
              </w:rPr>
              <w:t xml:space="preserve"> </w:t>
            </w:r>
            <w:r>
              <w:rPr>
                <w:rFonts w:hint="eastAsia"/>
              </w:rPr>
              <w:t xml:space="preserve"> □主要设备设施</w:t>
            </w:r>
            <w:r>
              <w:rPr>
                <w:rFonts w:hint="eastAsia"/>
                <w:lang w:val="en-US" w:eastAsia="zh-CN"/>
              </w:rPr>
              <w:t xml:space="preserve"> </w:t>
            </w:r>
            <w:r>
              <w:rPr>
                <w:rFonts w:hint="eastAsia"/>
              </w:rPr>
              <w:t xml:space="preserve"> □主要检测设备 </w:t>
            </w:r>
            <w:r>
              <w:rPr>
                <w:rFonts w:hint="eastAsia"/>
                <w:lang w:val="en-US" w:eastAsia="zh-CN"/>
              </w:rPr>
              <w:t xml:space="preserve"> </w:t>
            </w:r>
            <w:r>
              <w:rPr>
                <w:rFonts w:hint="eastAsia"/>
              </w:rPr>
              <w:sym w:font="Wingdings 2" w:char="00A3"/>
            </w:r>
            <w:r>
              <w:rPr>
                <w:rFonts w:hint="eastAsia"/>
              </w:rPr>
              <w:t>其他</w:t>
            </w:r>
          </w:p>
          <w:p>
            <w:pPr>
              <w:shd w:val="clear" w:color="auto"/>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882" w:hRule="atLeast"/>
        </w:trPr>
        <w:tc>
          <w:tcPr>
            <w:tcW w:w="680" w:type="dxa"/>
            <w:vMerge w:val="restart"/>
            <w:shd w:val="clear" w:color="auto" w:fill="D6E3BC" w:themeFill="accent3" w:themeFillTint="66"/>
          </w:tcPr>
          <w:p>
            <w:pPr>
              <w:shd w:val="clear" w:color="auto"/>
            </w:pPr>
            <w:r>
              <w:rPr>
                <w:rFonts w:hint="eastAsia"/>
              </w:rPr>
              <w:t>支持</w:t>
            </w:r>
          </w:p>
        </w:tc>
        <w:tc>
          <w:tcPr>
            <w:tcW w:w="9282" w:type="dxa"/>
            <w:shd w:val="clear" w:color="auto" w:fill="D6E3BC" w:themeFill="accent3" w:themeFillTint="66"/>
          </w:tcPr>
          <w:p>
            <w:pPr>
              <w:shd w:val="clear" w:color="auto"/>
            </w:pPr>
            <w:r>
              <w:rPr>
                <w:rFonts w:hint="eastAsia"/>
              </w:rPr>
              <w:t>组织的资源状况：</w:t>
            </w:r>
          </w:p>
          <w:p>
            <w:pPr>
              <w:shd w:val="clear" w:color="auto"/>
            </w:pPr>
            <w:r>
              <w:rPr>
                <w:rFonts w:hint="eastAsia"/>
              </w:rPr>
              <w:sym w:font="Wingdings 2" w:char="0052"/>
            </w:r>
            <w:r>
              <w:rPr>
                <w:rFonts w:hint="eastAsia"/>
              </w:rPr>
              <w:t>组织</w:t>
            </w:r>
            <w:r>
              <w:t>现有内部资源的能力</w:t>
            </w:r>
            <w:r>
              <w:rPr>
                <w:rFonts w:hint="eastAsia"/>
              </w:rPr>
              <w:t>可满足食品安全管理体系运行；</w:t>
            </w:r>
          </w:p>
          <w:p>
            <w:pPr>
              <w:shd w:val="clear" w:color="auto"/>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pPr>
            <w:r>
              <w:rPr>
                <w:rFonts w:hint="eastAsia"/>
                <w:u w:val="single"/>
              </w:rPr>
              <w:t xml:space="preserve">                                                      </w:t>
            </w:r>
          </w:p>
          <w:p>
            <w:pPr>
              <w:shd w:val="clear" w:color="auto"/>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882"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pPr>
            <w:r>
              <w:t>组织应确定并配备所需的</w:t>
            </w:r>
            <w:r>
              <w:rPr>
                <w:rFonts w:hint="eastAsia"/>
              </w:rPr>
              <w:t>管理人员、技术</w:t>
            </w:r>
            <w:r>
              <w:t>人员</w:t>
            </w:r>
            <w:r>
              <w:rPr>
                <w:rFonts w:hint="eastAsia"/>
              </w:rPr>
              <w:t>和生产操作/服务提供人员：</w:t>
            </w:r>
          </w:p>
          <w:p>
            <w:pPr>
              <w:shd w:val="clear" w:color="auto"/>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pPr>
              <w:shd w:val="clear" w:color="auto"/>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pPr>
            <w:r>
              <w:rPr>
                <w:rFonts w:hint="eastAsia"/>
                <w:u w:val="single"/>
              </w:rPr>
              <w:t xml:space="preserve">                                                                </w:t>
            </w:r>
          </w:p>
          <w:p>
            <w:pPr>
              <w:shd w:val="clear" w:color="auto"/>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pPr>
              <w:shd w:val="clear" w:color="auto"/>
            </w:pPr>
            <w:r>
              <w:rPr>
                <w:rFonts w:hint="eastAsia"/>
              </w:rPr>
              <w:t xml:space="preserve">外部专家能力、责任和权限的协议或合同的证据，□已保留 □未保留。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882"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rPr>
                <w:rFonts w:hint="eastAsia"/>
                <w:highlight w:val="none"/>
              </w:rPr>
            </w:pPr>
            <w:r>
              <w:rPr>
                <w:rFonts w:hint="eastAsia"/>
                <w:highlight w:val="none"/>
              </w:rPr>
              <w:t>组织应确定、提供并维护所需的基础设施情况：</w:t>
            </w:r>
          </w:p>
          <w:p>
            <w:pPr>
              <w:pStyle w:val="6"/>
              <w:shd w:val="clear"/>
              <w:rPr>
                <w:rFonts w:hint="eastAsia"/>
                <w:highlight w:val="none"/>
                <w:u w:val="single"/>
              </w:rPr>
            </w:pPr>
          </w:p>
          <w:p>
            <w:pPr>
              <w:rPr>
                <w:rFonts w:hint="default" w:eastAsia="宋体"/>
                <w:highlight w:val="none"/>
                <w:u w:val="single"/>
                <w:lang w:val="en-US" w:eastAsia="zh-CN"/>
              </w:rPr>
            </w:pPr>
            <w:r>
              <w:rPr>
                <w:rFonts w:hint="eastAsia"/>
                <w:highlight w:val="none"/>
                <w:u w:val="single"/>
              </w:rPr>
              <w:t>厂房</w:t>
            </w:r>
            <w:r>
              <w:rPr>
                <w:rFonts w:hint="eastAsia"/>
                <w:highlight w:val="none"/>
                <w:u w:val="single"/>
                <w:lang w:val="en-US" w:eastAsia="zh-CN"/>
              </w:rPr>
              <w:t>占地</w:t>
            </w:r>
            <w:r>
              <w:rPr>
                <w:rFonts w:hint="eastAsia"/>
                <w:highlight w:val="none"/>
                <w:u w:val="single"/>
              </w:rPr>
              <w:t xml:space="preserve">面积： </w:t>
            </w:r>
            <w:r>
              <w:rPr>
                <w:rFonts w:hint="eastAsia"/>
                <w:highlight w:val="none"/>
                <w:u w:val="single"/>
                <w:lang w:val="en-US" w:eastAsia="zh-CN"/>
              </w:rPr>
              <w:t>9500</w:t>
            </w:r>
            <w:r>
              <w:rPr>
                <w:rFonts w:hint="eastAsia"/>
                <w:highlight w:val="none"/>
                <w:u w:val="single"/>
              </w:rPr>
              <w:t xml:space="preserve">平方米；建筑面积 </w:t>
            </w:r>
            <w:r>
              <w:rPr>
                <w:rFonts w:hint="eastAsia"/>
                <w:color w:val="000000"/>
                <w:szCs w:val="21"/>
                <w:highlight w:val="none"/>
                <w:u w:val="single"/>
                <w:lang w:val="en-US" w:eastAsia="zh-CN"/>
              </w:rPr>
              <w:t>5460</w:t>
            </w:r>
            <w:r>
              <w:rPr>
                <w:rFonts w:hint="eastAsia"/>
                <w:highlight w:val="none"/>
                <w:u w:val="single"/>
              </w:rPr>
              <w:t xml:space="preserve"> 平方米；</w:t>
            </w:r>
            <w:r>
              <w:rPr>
                <w:rFonts w:hint="eastAsia"/>
                <w:highlight w:val="none"/>
                <w:u w:val="single"/>
                <w:lang w:val="en-US" w:eastAsia="zh-CN"/>
              </w:rPr>
              <w:t>常温库3个，冷冻库2个，办公楼2个；检验室1个；</w:t>
            </w:r>
          </w:p>
          <w:p>
            <w:pPr>
              <w:pStyle w:val="2"/>
              <w:tabs>
                <w:tab w:val="left" w:pos="540"/>
              </w:tabs>
              <w:rPr>
                <w:rFonts w:hint="default"/>
                <w:lang w:val="en-US" w:eastAsia="zh-CN"/>
              </w:rPr>
            </w:pPr>
          </w:p>
          <w:p>
            <w:pPr>
              <w:rPr>
                <w:u w:val="single"/>
              </w:rPr>
            </w:pPr>
            <w:r>
              <w:rPr>
                <w:rFonts w:hint="eastAsia"/>
              </w:rPr>
              <w:t>主要设备有：</w:t>
            </w:r>
            <w:r>
              <w:rPr>
                <w:rFonts w:hint="eastAsia"/>
                <w:u w:val="single"/>
              </w:rPr>
              <w:t xml:space="preserve"> </w:t>
            </w:r>
            <w:r>
              <w:rPr>
                <w:rFonts w:hint="eastAsia"/>
                <w:szCs w:val="21"/>
                <w:u w:val="single"/>
              </w:rPr>
              <w:t xml:space="preserve"> </w:t>
            </w:r>
            <w:r>
              <w:rPr>
                <w:rFonts w:hint="eastAsia"/>
                <w:szCs w:val="21"/>
                <w:u w:val="single"/>
                <w:lang w:val="en-US" w:eastAsia="zh-CN"/>
              </w:rPr>
              <w:t>预煮机、成型刮片机、烘房、成型机、</w:t>
            </w:r>
            <w:r>
              <w:rPr>
                <w:rFonts w:hint="eastAsia"/>
                <w:szCs w:val="21"/>
                <w:u w:val="single"/>
              </w:rPr>
              <w:t>电子秤</w:t>
            </w:r>
            <w:r>
              <w:rPr>
                <w:rFonts w:hint="eastAsia"/>
                <w:szCs w:val="21"/>
                <w:u w:val="single"/>
                <w:lang w:eastAsia="zh-CN"/>
              </w:rPr>
              <w:t>、</w:t>
            </w:r>
            <w:r>
              <w:rPr>
                <w:rFonts w:hint="eastAsia"/>
                <w:szCs w:val="21"/>
                <w:u w:val="single"/>
                <w:lang w:val="en-US" w:eastAsia="zh-CN"/>
              </w:rPr>
              <w:t>包装机</w:t>
            </w:r>
            <w:r>
              <w:rPr>
                <w:rFonts w:hint="eastAsia"/>
                <w:u w:val="single"/>
              </w:rPr>
              <w:t>（列举2~4种）</w:t>
            </w:r>
          </w:p>
          <w:p>
            <w:pPr>
              <w:pStyle w:val="6"/>
              <w:shd w:val="clear"/>
              <w:rPr>
                <w:rFonts w:hint="eastAsia"/>
                <w:u w:val="single"/>
              </w:rPr>
            </w:pPr>
          </w:p>
          <w:p>
            <w:pPr>
              <w:shd w:val="clear" w:color="auto"/>
            </w:pPr>
            <w:r>
              <w:rPr>
                <w:rFonts w:hint="eastAsia"/>
              </w:rPr>
              <w:t>特种设备：</w:t>
            </w:r>
            <w:r>
              <w:rPr>
                <w:rFonts w:hint="eastAsia"/>
              </w:rPr>
              <w:sym w:font="Wingdings 2" w:char="0052"/>
            </w:r>
            <w:r>
              <w:rPr>
                <w:rFonts w:hint="eastAsia"/>
              </w:rPr>
              <w:t xml:space="preserve">叉车 □行车 </w:t>
            </w:r>
            <w:r>
              <w:rPr>
                <w:rFonts w:hint="eastAsia"/>
              </w:rPr>
              <w:sym w:font="Wingdings 2" w:char="0052"/>
            </w:r>
            <w:r>
              <w:rPr>
                <w:rFonts w:hint="eastAsia"/>
              </w:rPr>
              <w:t xml:space="preserve">锅炉 </w:t>
            </w:r>
            <w:r>
              <w:rPr>
                <w:rFonts w:hint="eastAsia"/>
              </w:rPr>
              <w:sym w:font="Wingdings 2" w:char="00A3"/>
            </w:r>
            <w:r>
              <w:rPr>
                <w:rFonts w:hint="eastAsia"/>
              </w:rPr>
              <w:t xml:space="preserve">电梯  □压力容器  □压力管道  </w:t>
            </w:r>
            <w:r>
              <w:rPr>
                <w:rFonts w:hint="eastAsia"/>
              </w:rPr>
              <w:sym w:font="Wingdings 2" w:char="00A3"/>
            </w:r>
            <w:r>
              <w:rPr>
                <w:rFonts w:hint="eastAsia"/>
              </w:rPr>
              <w:t xml:space="preserve">不适用  </w:t>
            </w:r>
          </w:p>
          <w:p>
            <w:pPr>
              <w:shd w:val="clear" w:color="auto"/>
              <w:rPr>
                <w:u w:val="single"/>
              </w:rPr>
            </w:pPr>
            <w:r>
              <w:rPr>
                <w:rFonts w:hint="eastAsia"/>
              </w:rPr>
              <w:t>特种设备管理：</w:t>
            </w:r>
            <w:r>
              <w:rPr>
                <w:rFonts w:hint="eastAsia"/>
              </w:rPr>
              <w:sym w:font="Wingdings 2" w:char="0052"/>
            </w:r>
            <w:r>
              <w:rPr>
                <w:rFonts w:hint="eastAsia"/>
              </w:rPr>
              <w:t>进行了定期检验</w:t>
            </w:r>
            <w:r>
              <w:rPr>
                <w:rFonts w:hint="eastAsia"/>
                <w:lang w:val="en-US" w:eastAsia="zh-CN"/>
              </w:rPr>
              <w:t xml:space="preserve">    </w:t>
            </w:r>
            <w:r>
              <w:rPr>
                <w:rFonts w:hint="eastAsia"/>
              </w:rPr>
              <w:sym w:font="Wingdings 2" w:char="00A3"/>
            </w:r>
            <w:r>
              <w:rPr>
                <w:rFonts w:hint="eastAsia"/>
              </w:rPr>
              <w:t xml:space="preserve">未进行定期检验的有： </w:t>
            </w:r>
            <w:r>
              <w:rPr>
                <w:rFonts w:hint="eastAsia"/>
                <w:u w:val="single"/>
              </w:rPr>
              <w:t xml:space="preserve">  </w:t>
            </w:r>
            <w:r>
              <w:rPr>
                <w:rFonts w:hint="eastAsia"/>
                <w:u w:val="single"/>
                <w:lang w:eastAsia="zh-CN"/>
              </w:rPr>
              <w:t>——</w:t>
            </w:r>
            <w:r>
              <w:rPr>
                <w:rFonts w:hint="eastAsia"/>
                <w:u w:val="single"/>
              </w:rPr>
              <w:t xml:space="preserve">          </w:t>
            </w:r>
          </w:p>
          <w:p>
            <w:pPr>
              <w:shd w:val="clear" w:color="auto"/>
            </w:pPr>
            <w:r>
              <w:rPr>
                <w:rFonts w:hint="eastAsia"/>
              </w:rPr>
              <w:sym w:font="Wingdings 2" w:char="0052"/>
            </w:r>
            <w:r>
              <w:rPr>
                <w:rFonts w:hint="eastAsia"/>
              </w:rPr>
              <w:t>组织</w:t>
            </w:r>
            <w:r>
              <w:t>现有</w:t>
            </w:r>
            <w:r>
              <w:rPr>
                <w:rFonts w:hint="eastAsia"/>
              </w:rPr>
              <w:t>基础设施可满足食品安全管理体系运行；</w:t>
            </w:r>
          </w:p>
          <w:p>
            <w:pPr>
              <w:shd w:val="clear" w:color="auto"/>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pPr>
              <w:shd w:val="clear" w:color="auto"/>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41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pPr>
            <w:r>
              <w:t xml:space="preserve">组织应确定、提供并维护所需的人为因素与物理因素环境，以实现与FSMS要求的一致性。 </w:t>
            </w:r>
          </w:p>
          <w:p>
            <w:pPr>
              <w:shd w:val="clear" w:color="auto"/>
            </w:pPr>
            <w:r>
              <w:rPr>
                <w:rFonts w:hint="eastAsia"/>
              </w:rPr>
              <w:sym w:font="Wingdings 2" w:char="0052"/>
            </w:r>
            <w:r>
              <w:rPr>
                <w:rFonts w:hint="eastAsia"/>
              </w:rPr>
              <w:t>组织</w:t>
            </w:r>
            <w:r>
              <w:t>现有</w:t>
            </w:r>
            <w:r>
              <w:rPr>
                <w:rFonts w:hint="eastAsia"/>
              </w:rPr>
              <w:t>运行环境可满足食品安全管理体系运行；</w:t>
            </w:r>
          </w:p>
          <w:p>
            <w:pPr>
              <w:shd w:val="clear" w:color="auto"/>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882"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w:t>
            </w:r>
            <w:r>
              <w:rPr>
                <w:rFonts w:hint="eastAsia"/>
              </w:rPr>
              <w:sym w:font="Wingdings 2" w:char="0052"/>
            </w:r>
            <w:r>
              <w:rPr>
                <w:rFonts w:hint="eastAsia"/>
              </w:rPr>
              <w:t>否，由受审核方自己完成  □是，由外部专家提供</w:t>
            </w:r>
          </w:p>
          <w:p>
            <w:pPr>
              <w:shd w:val="clear" w:color="auto"/>
            </w:pPr>
            <w:r>
              <w:rPr>
                <w:rFonts w:hint="eastAsia"/>
              </w:rPr>
              <w:t>若受审核方</w:t>
            </w:r>
            <w:r>
              <w:t>使用外部建立的FSMS要素建立其FSMS时，应确保所提供的要素为：</w:t>
            </w:r>
          </w:p>
          <w:p>
            <w:pPr>
              <w:shd w:val="clear" w:color="auto"/>
            </w:pPr>
            <w:r>
              <w:t>a） 以符合</w:t>
            </w:r>
            <w:r>
              <w:rPr>
                <w:rFonts w:hint="eastAsia"/>
              </w:rPr>
              <w:t>ISO22000</w:t>
            </w:r>
            <w:r>
              <w:t>标准要求的方式建立；</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pPr>
            <w:r>
              <w:t>b） 适用于</w:t>
            </w:r>
            <w:r>
              <w:rPr>
                <w:rFonts w:hint="eastAsia"/>
              </w:rPr>
              <w:t>受审核方</w:t>
            </w:r>
            <w:r>
              <w:t>的场所、过程和产品；</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pPr>
            <w:r>
              <w:t xml:space="preserve">c） </w:t>
            </w:r>
            <w:r>
              <w:rPr>
                <w:rFonts w:hint="eastAsia"/>
              </w:rPr>
              <w:t>由</w:t>
            </w:r>
            <w:r>
              <w:t>食品安全小组</w:t>
            </w:r>
            <w:r>
              <w:rPr>
                <w:rFonts w:hint="eastAsia"/>
              </w:rPr>
              <w:t>调整其与</w:t>
            </w:r>
            <w:r>
              <w:t>组织的工艺和产品相适应；</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pPr>
            <w:r>
              <w:t>d） 按</w:t>
            </w:r>
            <w:r>
              <w:rPr>
                <w:rFonts w:hint="eastAsia"/>
              </w:rPr>
              <w:t>ISO22000</w:t>
            </w:r>
            <w:r>
              <w:t>标准要求实施、保持和更新；</w:t>
            </w:r>
            <w:r>
              <w:rPr>
                <w:rFonts w:hint="eastAsia"/>
              </w:rPr>
              <w:t xml:space="preserve">         </w:t>
            </w:r>
            <w:r>
              <w:rPr>
                <w:rFonts w:hint="eastAsia"/>
              </w:rPr>
              <w:sym w:font="Wingdings 2" w:char="0052"/>
            </w:r>
            <w:r>
              <w:rPr>
                <w:rFonts w:hint="eastAsia"/>
              </w:rPr>
              <w:t>是   □否，说明：</w:t>
            </w:r>
            <w:r>
              <w:rPr>
                <w:rFonts w:hint="eastAsia"/>
                <w:u w:val="single"/>
              </w:rPr>
              <w:t xml:space="preserve">             </w:t>
            </w:r>
          </w:p>
          <w:p>
            <w:pPr>
              <w:shd w:val="clear" w:color="auto"/>
              <w:rPr>
                <w:u w:val="single"/>
              </w:rPr>
            </w:pPr>
            <w:r>
              <w:t>e） 作为文件信息保留。</w:t>
            </w:r>
            <w:r>
              <w:rPr>
                <w:rFonts w:hint="eastAsia"/>
              </w:rPr>
              <w:t xml:space="preserve">                            </w:t>
            </w:r>
            <w:r>
              <w:rPr>
                <w:rFonts w:hint="eastAsia"/>
              </w:rPr>
              <w:sym w:font="Wingdings 2" w:char="0052"/>
            </w:r>
            <w:r>
              <w:rPr>
                <w:rFonts w:hint="eastAsia"/>
              </w:rPr>
              <w:t>是   □否，说明：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882"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jc w:val="left"/>
              <w:rPr>
                <w:highlight w:val="none"/>
              </w:rPr>
            </w:pPr>
            <w:r>
              <w:rPr>
                <w:rFonts w:hint="eastAsia"/>
                <w:highlight w:val="none"/>
              </w:rPr>
              <w:t>组织</w:t>
            </w:r>
            <w:r>
              <w:rPr>
                <w:highlight w:val="none"/>
              </w:rPr>
              <w:t>建立和应用</w:t>
            </w:r>
            <w:r>
              <w:rPr>
                <w:rFonts w:hint="eastAsia"/>
                <w:highlight w:val="none"/>
              </w:rPr>
              <w:t>了</w:t>
            </w:r>
            <w:r>
              <w:rPr>
                <w:highlight w:val="none"/>
              </w:rPr>
              <w:t>对过程、产品和/或服务的外部供应商的评价、选择、绩效监测和再评价的准则；</w:t>
            </w:r>
            <w:r>
              <w:rPr>
                <w:rFonts w:hint="eastAsia"/>
                <w:highlight w:val="none"/>
              </w:rPr>
              <w:t>对外部</w:t>
            </w:r>
            <w:r>
              <w:rPr>
                <w:highlight w:val="none"/>
              </w:rPr>
              <w:t>供应商</w:t>
            </w:r>
            <w:r>
              <w:rPr>
                <w:rFonts w:hint="eastAsia"/>
                <w:highlight w:val="none"/>
              </w:rPr>
              <w:t>提供的过程、产品和服务的供方按照对产品/服务的类型和程度实施控制。</w:t>
            </w:r>
          </w:p>
          <w:p>
            <w:pPr>
              <w:shd w:val="clear" w:color="auto"/>
              <w:jc w:val="left"/>
              <w:rPr>
                <w:rFonts w:hint="eastAsia" w:eastAsia="宋体"/>
                <w:highlight w:val="none"/>
                <w:lang w:eastAsia="zh-CN"/>
              </w:rPr>
            </w:pPr>
            <w:r>
              <w:rPr>
                <w:rFonts w:hint="eastAsia"/>
                <w:highlight w:val="none"/>
              </w:rPr>
              <w:t>外部提供包括：</w:t>
            </w:r>
            <w:r>
              <w:rPr>
                <w:rFonts w:hint="eastAsia"/>
                <w:highlight w:val="none"/>
              </w:rPr>
              <w:sym w:font="Wingdings 2" w:char="0052"/>
            </w:r>
            <w:r>
              <w:rPr>
                <w:rFonts w:hint="eastAsia"/>
                <w:highlight w:val="none"/>
              </w:rPr>
              <w:t xml:space="preserve">原材料采购 □委托加工  □产品运输  </w:t>
            </w:r>
            <w:r>
              <w:rPr>
                <w:rFonts w:hint="eastAsia"/>
                <w:highlight w:val="none"/>
              </w:rPr>
              <w:sym w:font="Wingdings 2" w:char="00A3"/>
            </w:r>
            <w:r>
              <w:rPr>
                <w:rFonts w:hint="eastAsia"/>
                <w:highlight w:val="none"/>
              </w:rPr>
              <w:t>其他</w:t>
            </w:r>
            <w:r>
              <w:rPr>
                <w:rFonts w:hint="eastAsia"/>
                <w:highlight w:val="none"/>
                <w:lang w:eastAsia="zh-CN"/>
              </w:rPr>
              <w:t>（</w:t>
            </w:r>
            <w:r>
              <w:rPr>
                <w:rFonts w:hint="eastAsia"/>
                <w:highlight w:val="none"/>
                <w:lang w:val="en-US" w:eastAsia="zh-CN"/>
              </w:rPr>
              <w:t>虫鼠害控制服务</w:t>
            </w:r>
            <w:r>
              <w:rPr>
                <w:rFonts w:hint="eastAsia"/>
                <w:highlight w:val="none"/>
                <w:lang w:eastAsia="zh-CN"/>
              </w:rPr>
              <w:t>）</w:t>
            </w:r>
          </w:p>
          <w:p>
            <w:pPr>
              <w:shd w:val="clear"/>
              <w:snapToGrid w:val="0"/>
              <w:spacing w:line="264" w:lineRule="auto"/>
              <w:rPr>
                <w:strike w:val="0"/>
                <w:dstrike w:val="0"/>
                <w:szCs w:val="21"/>
                <w:highlight w:val="none"/>
              </w:rPr>
            </w:pPr>
            <w:r>
              <w:rPr>
                <w:rFonts w:hint="eastAsia"/>
                <w:strike w:val="0"/>
                <w:dstrike w:val="0"/>
                <w:szCs w:val="21"/>
                <w:highlight w:val="none"/>
              </w:rPr>
              <w:t>合格供方名单共</w:t>
            </w:r>
            <w:r>
              <w:rPr>
                <w:rFonts w:hint="eastAsia"/>
                <w:strike w:val="0"/>
                <w:dstrike w:val="0"/>
                <w:szCs w:val="21"/>
                <w:highlight w:val="none"/>
                <w:u w:val="single"/>
              </w:rPr>
              <w:t xml:space="preserve"> </w:t>
            </w:r>
            <w:r>
              <w:rPr>
                <w:rFonts w:hint="eastAsia"/>
                <w:strike w:val="0"/>
                <w:dstrike w:val="0"/>
                <w:szCs w:val="21"/>
                <w:highlight w:val="none"/>
                <w:u w:val="single"/>
                <w:lang w:val="en-US" w:eastAsia="zh-CN"/>
              </w:rPr>
              <w:t xml:space="preserve">14 </w:t>
            </w:r>
            <w:r>
              <w:rPr>
                <w:rFonts w:hint="eastAsia"/>
                <w:strike w:val="0"/>
                <w:dstrike w:val="0"/>
                <w:szCs w:val="21"/>
                <w:highlight w:val="none"/>
              </w:rPr>
              <w:t>家，例如：</w:t>
            </w:r>
          </w:p>
          <w:p>
            <w:pPr>
              <w:widowControl/>
              <w:numPr>
                <w:ilvl w:val="0"/>
                <w:numId w:val="4"/>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主要原材料的供方——</w:t>
            </w:r>
            <w:r>
              <w:rPr>
                <w:rFonts w:hint="eastAsia"/>
                <w:strike w:val="0"/>
                <w:dstrike w:val="0"/>
                <w:color w:val="auto"/>
                <w:szCs w:val="20"/>
                <w:highlight w:val="none"/>
                <w:lang w:val="en-US" w:eastAsia="zh-CN"/>
              </w:rPr>
              <w:t xml:space="preserve"> </w:t>
            </w:r>
            <w:r>
              <w:rPr>
                <w:rFonts w:hint="eastAsia"/>
                <w:color w:val="0000FF"/>
                <w:lang w:val="en-US" w:eastAsia="zh-CN"/>
              </w:rPr>
              <w:t>山楂</w:t>
            </w:r>
            <w:r>
              <w:rPr>
                <w:rFonts w:hint="eastAsia"/>
                <w:highlight w:val="none"/>
                <w:lang w:eastAsia="zh-CN"/>
              </w:rPr>
              <w:t>【</w:t>
            </w:r>
            <w:r>
              <w:rPr>
                <w:rFonts w:hint="eastAsia" w:eastAsia="黑体"/>
                <w:color w:val="0000FF"/>
                <w:lang w:val="en-US" w:eastAsia="zh-CN"/>
              </w:rPr>
              <w:t>承德市山楂果农</w:t>
            </w:r>
            <w:r>
              <w:rPr>
                <w:rFonts w:hint="eastAsia"/>
                <w:highlight w:val="none"/>
                <w:lang w:eastAsia="zh-CN"/>
              </w:rPr>
              <w:t>】</w:t>
            </w:r>
          </w:p>
          <w:p>
            <w:pPr>
              <w:widowControl/>
              <w:numPr>
                <w:ilvl w:val="0"/>
                <w:numId w:val="4"/>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辅料的供方——</w:t>
            </w:r>
            <w:r>
              <w:rPr>
                <w:rFonts w:hint="eastAsia"/>
                <w:color w:val="0000FF"/>
                <w:lang w:val="en-US" w:eastAsia="zh-CN"/>
              </w:rPr>
              <w:t>麦芽糖【河北祥龙实业有限公司】、白砂糖</w:t>
            </w:r>
            <w:r>
              <w:rPr>
                <w:rFonts w:hint="eastAsia"/>
                <w:highlight w:val="none"/>
                <w:lang w:eastAsia="zh-CN"/>
              </w:rPr>
              <w:t>【</w:t>
            </w:r>
            <w:r>
              <w:rPr>
                <w:rFonts w:hint="eastAsia" w:eastAsia="黑体"/>
                <w:color w:val="0000FF"/>
                <w:lang w:val="en-US" w:eastAsia="zh-CN"/>
              </w:rPr>
              <w:t>广西上上糖业有限公司</w:t>
            </w:r>
            <w:r>
              <w:rPr>
                <w:rFonts w:hint="eastAsia"/>
                <w:highlight w:val="none"/>
                <w:lang w:eastAsia="zh-CN"/>
              </w:rPr>
              <w:t>】</w:t>
            </w:r>
          </w:p>
          <w:p>
            <w:pPr>
              <w:widowControl/>
              <w:numPr>
                <w:ilvl w:val="0"/>
                <w:numId w:val="4"/>
              </w:numPr>
              <w:shd w:val="clear"/>
              <w:snapToGrid w:val="0"/>
              <w:spacing w:before="40" w:after="40" w:line="264" w:lineRule="auto"/>
              <w:ind w:left="570" w:leftChars="0" w:firstLineChars="0"/>
              <w:rPr>
                <w:u w:val="none"/>
              </w:rPr>
            </w:pPr>
            <w:r>
              <w:rPr>
                <w:rFonts w:hint="eastAsia"/>
                <w:strike w:val="0"/>
                <w:dstrike w:val="0"/>
                <w:color w:val="auto"/>
                <w:szCs w:val="21"/>
                <w:highlight w:val="none"/>
                <w:lang w:val="en-US" w:eastAsia="zh-CN"/>
              </w:rPr>
              <w:t>食品添加剂</w:t>
            </w:r>
            <w:r>
              <w:rPr>
                <w:rFonts w:hint="eastAsia"/>
                <w:strike w:val="0"/>
                <w:dstrike w:val="0"/>
                <w:color w:val="auto"/>
                <w:szCs w:val="21"/>
                <w:highlight w:val="none"/>
              </w:rPr>
              <w:t>的供方——</w:t>
            </w:r>
            <w:r>
              <w:rPr>
                <w:rFonts w:hint="eastAsia"/>
                <w:color w:val="0000FF"/>
                <w:highlight w:val="none"/>
                <w:lang w:val="en-US" w:eastAsia="zh-CN"/>
              </w:rPr>
              <w:t>山梨酸钾【宁波王龙科技有限公司】、</w:t>
            </w:r>
            <w:r>
              <w:rPr>
                <w:rFonts w:hint="eastAsia"/>
                <w:color w:val="0000FF"/>
                <w:u w:val="none"/>
                <w:lang w:val="en-US" w:eastAsia="zh-CN"/>
              </w:rPr>
              <w:t>甜蜜素【</w:t>
            </w:r>
            <w:r>
              <w:rPr>
                <w:rFonts w:hint="eastAsia" w:cs="Times New Roman"/>
                <w:color w:val="0000FF"/>
                <w:u w:val="none"/>
                <w:lang w:val="en-US" w:eastAsia="zh-CN"/>
              </w:rPr>
              <w:t>互惠（江门）食用添加剂有限公司</w:t>
            </w:r>
            <w:r>
              <w:rPr>
                <w:rFonts w:hint="eastAsia"/>
                <w:color w:val="0000FF"/>
                <w:u w:val="none"/>
                <w:lang w:val="en-US" w:eastAsia="zh-CN"/>
              </w:rPr>
              <w:t>】</w:t>
            </w:r>
            <w:r>
              <w:rPr>
                <w:rFonts w:hint="eastAsia"/>
                <w:u w:val="none"/>
                <w:lang w:val="en-US" w:eastAsia="zh-CN"/>
              </w:rPr>
              <w:t>、</w:t>
            </w:r>
            <w:r>
              <w:rPr>
                <w:rFonts w:hint="eastAsia" w:cs="Times New Roman"/>
                <w:color w:val="0000FF"/>
                <w:u w:val="none"/>
                <w:lang w:val="en-US" w:eastAsia="zh-CN"/>
              </w:rPr>
              <w:t>胭脂红</w:t>
            </w:r>
            <w:r>
              <w:rPr>
                <w:rFonts w:hint="eastAsia" w:ascii="Times New Roman" w:hAnsi="Times New Roman" w:cs="Times New Roman"/>
                <w:color w:val="0000FF"/>
                <w:u w:val="none"/>
                <w:lang w:val="en-US" w:eastAsia="zh-CN"/>
              </w:rPr>
              <w:t>【</w:t>
            </w:r>
            <w:r>
              <w:rPr>
                <w:rFonts w:hint="eastAsia" w:cs="Times New Roman"/>
                <w:color w:val="0000FF"/>
                <w:u w:val="none"/>
                <w:lang w:val="en-US" w:eastAsia="zh-CN"/>
              </w:rPr>
              <w:t>上海染料研究所</w:t>
            </w:r>
            <w:r>
              <w:rPr>
                <w:rFonts w:hint="eastAsia" w:ascii="Times New Roman" w:hAnsi="Times New Roman" w:eastAsia="宋体" w:cs="Times New Roman"/>
                <w:color w:val="0000FF"/>
                <w:u w:val="none"/>
                <w:lang w:val="en-US" w:eastAsia="zh-CN"/>
              </w:rPr>
              <w:t>有限公司</w:t>
            </w:r>
            <w:r>
              <w:rPr>
                <w:rFonts w:hint="eastAsia" w:ascii="Times New Roman" w:hAnsi="Times New Roman" w:cs="Times New Roman"/>
                <w:color w:val="0000FF"/>
                <w:u w:val="none"/>
                <w:lang w:val="en-US" w:eastAsia="zh-CN"/>
              </w:rPr>
              <w:t>】</w:t>
            </w:r>
          </w:p>
          <w:p>
            <w:pPr>
              <w:widowControl/>
              <w:numPr>
                <w:ilvl w:val="0"/>
                <w:numId w:val="4"/>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内包材的供方——</w:t>
            </w:r>
            <w:r>
              <w:rPr>
                <w:rFonts w:hint="eastAsia"/>
                <w:color w:val="0000FF"/>
                <w:lang w:val="en-US" w:eastAsia="zh-CN"/>
              </w:rPr>
              <w:t>包装膜</w:t>
            </w:r>
            <w:r>
              <w:rPr>
                <w:rFonts w:hint="eastAsia"/>
                <w:bCs/>
                <w:highlight w:val="none"/>
                <w:lang w:eastAsia="zh-CN"/>
              </w:rPr>
              <w:t>【</w:t>
            </w:r>
            <w:r>
              <w:rPr>
                <w:rFonts w:hint="eastAsia"/>
                <w:color w:val="0000FF"/>
                <w:lang w:val="en-US" w:eastAsia="zh-CN"/>
              </w:rPr>
              <w:t>河南美星包装科技有限公司</w:t>
            </w:r>
            <w:r>
              <w:rPr>
                <w:rFonts w:hint="eastAsia"/>
                <w:bCs/>
                <w:highlight w:val="none"/>
                <w:lang w:eastAsia="zh-CN"/>
              </w:rPr>
              <w:t>】</w:t>
            </w:r>
          </w:p>
          <w:p>
            <w:pPr>
              <w:widowControl/>
              <w:numPr>
                <w:ilvl w:val="0"/>
                <w:numId w:val="4"/>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lang w:val="en-US" w:eastAsia="zh-CN"/>
              </w:rPr>
              <w:t>提供外部服务</w:t>
            </w:r>
            <w:r>
              <w:rPr>
                <w:rFonts w:hint="eastAsia"/>
                <w:strike w:val="0"/>
                <w:dstrike w:val="0"/>
                <w:color w:val="auto"/>
                <w:szCs w:val="21"/>
                <w:highlight w:val="none"/>
              </w:rPr>
              <w:t>的供方——</w:t>
            </w:r>
            <w:r>
              <w:rPr>
                <w:rFonts w:hint="eastAsia"/>
                <w:strike w:val="0"/>
                <w:dstrike w:val="0"/>
                <w:color w:val="auto"/>
                <w:szCs w:val="21"/>
                <w:highlight w:val="none"/>
                <w:lang w:val="en-US" w:eastAsia="zh-CN"/>
              </w:rPr>
              <w:t>无</w:t>
            </w:r>
          </w:p>
          <w:p>
            <w:pPr>
              <w:widowControl/>
              <w:numPr>
                <w:ilvl w:val="0"/>
                <w:numId w:val="4"/>
              </w:numPr>
              <w:shd w:val="clear"/>
              <w:snapToGrid w:val="0"/>
              <w:spacing w:before="40" w:after="40" w:line="264" w:lineRule="auto"/>
              <w:ind w:left="570" w:leftChars="0" w:firstLineChars="0"/>
              <w:rPr>
                <w:strike w:val="0"/>
                <w:dstrike w:val="0"/>
                <w:color w:val="auto"/>
                <w:szCs w:val="21"/>
                <w:highlight w:val="none"/>
                <w:u w:val="single"/>
              </w:rPr>
            </w:pPr>
            <w:r>
              <w:rPr>
                <w:rFonts w:hint="eastAsia"/>
                <w:strike w:val="0"/>
                <w:dstrike w:val="0"/>
                <w:color w:val="auto"/>
                <w:szCs w:val="21"/>
                <w:highlight w:val="none"/>
              </w:rPr>
              <w:t>外包的供方——</w:t>
            </w:r>
          </w:p>
          <w:p>
            <w:pPr>
              <w:shd w:val="clear" w:color="auto"/>
              <w:jc w:val="left"/>
              <w:rPr>
                <w:rFonts w:hint="eastAsia"/>
                <w:highlight w:val="none"/>
              </w:rPr>
            </w:pPr>
          </w:p>
          <w:p>
            <w:pPr>
              <w:shd w:val="clear" w:color="auto"/>
              <w:jc w:val="left"/>
              <w:rPr>
                <w:rFonts w:hint="default" w:eastAsia="宋体"/>
                <w:highlight w:val="yellow"/>
                <w:lang w:val="en-US" w:eastAsia="zh-CN"/>
              </w:rPr>
            </w:pPr>
            <w:r>
              <w:rPr>
                <w:rFonts w:hint="eastAsia"/>
                <w:highlight w:val="none"/>
              </w:rPr>
              <w:t>与外部供方评价的信息：</w:t>
            </w:r>
            <w:r>
              <w:rPr>
                <w:rFonts w:hint="eastAsia"/>
                <w:highlight w:val="none"/>
              </w:rPr>
              <w:sym w:font="Wingdings 2" w:char="0052"/>
            </w:r>
            <w:r>
              <w:rPr>
                <w:rFonts w:hint="eastAsia"/>
                <w:highlight w:val="none"/>
              </w:rPr>
              <w:t xml:space="preserve">符合要求 </w:t>
            </w:r>
            <w:r>
              <w:rPr>
                <w:rFonts w:hint="eastAsia"/>
                <w:highlight w:val="none"/>
              </w:rPr>
              <w:sym w:font="Wingdings 2" w:char="00A3"/>
            </w:r>
            <w:r>
              <w:rPr>
                <w:rFonts w:hint="eastAsia"/>
                <w:highlight w:val="none"/>
              </w:rPr>
              <w:t>存在不足，说明</w:t>
            </w:r>
            <w:r>
              <w:rPr>
                <w:rFonts w:hint="eastAsia"/>
                <w:highlight w:val="none"/>
                <w:u w:val="single"/>
              </w:rPr>
              <w:t xml:space="preserve">   </w:t>
            </w:r>
            <w:r>
              <w:rPr>
                <w:rFonts w:hint="eastAsia"/>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fill="D6E3BC" w:themeFill="accent3" w:themeFillTint="66"/>
              <w:rPr>
                <w:highlight w:val="none"/>
              </w:rPr>
            </w:pPr>
            <w:r>
              <w:rPr>
                <w:rFonts w:hint="eastAsia"/>
                <w:highlight w:val="none"/>
              </w:rPr>
              <w:t>组织已确定在其控制的工作人员所需具备的能力，并采取措施以获得所需的能力，并评价措施的有效性；</w:t>
            </w:r>
          </w:p>
          <w:p>
            <w:pPr>
              <w:shd w:val="clear" w:color="auto" w:fill="D6E3BC" w:themeFill="accent3" w:themeFillTint="66"/>
              <w:rPr>
                <w:rFonts w:hint="eastAsia"/>
                <w:highlight w:val="none"/>
              </w:rPr>
            </w:pPr>
            <w:r>
              <w:rPr>
                <w:rFonts w:hint="eastAsia"/>
                <w:highlight w:val="none"/>
              </w:rPr>
              <w:t xml:space="preserve">通过 </w:t>
            </w:r>
            <w:r>
              <w:rPr>
                <w:rFonts w:hint="eastAsia"/>
                <w:highlight w:val="none"/>
              </w:rPr>
              <w:sym w:font="Wingdings 2" w:char="0052"/>
            </w:r>
            <w:r>
              <w:rPr>
                <w:rFonts w:hint="eastAsia"/>
                <w:highlight w:val="none"/>
              </w:rPr>
              <w:t xml:space="preserve">招聘 </w:t>
            </w:r>
            <w:r>
              <w:rPr>
                <w:rFonts w:hint="eastAsia"/>
                <w:highlight w:val="none"/>
              </w:rPr>
              <w:sym w:font="Wingdings 2" w:char="0052"/>
            </w:r>
            <w:r>
              <w:rPr>
                <w:rFonts w:hint="eastAsia"/>
                <w:highlight w:val="none"/>
              </w:rPr>
              <w:t xml:space="preserve">换岗  </w:t>
            </w:r>
            <w:r>
              <w:rPr>
                <w:rFonts w:hint="eastAsia"/>
                <w:highlight w:val="none"/>
              </w:rPr>
              <w:sym w:font="Wingdings 2" w:char="0052"/>
            </w:r>
            <w:r>
              <w:rPr>
                <w:rFonts w:hint="eastAsia"/>
                <w:highlight w:val="none"/>
              </w:rPr>
              <w:t xml:space="preserve">培训  </w:t>
            </w:r>
            <w:r>
              <w:rPr>
                <w:rFonts w:hint="eastAsia"/>
                <w:highlight w:val="none"/>
              </w:rPr>
              <w:sym w:font="Wingdings 2" w:char="0052"/>
            </w:r>
            <w:r>
              <w:rPr>
                <w:rFonts w:hint="eastAsia"/>
                <w:highlight w:val="none"/>
              </w:rPr>
              <w:t xml:space="preserve">考核   </w:t>
            </w:r>
            <w:r>
              <w:rPr>
                <w:rFonts w:hint="eastAsia"/>
                <w:highlight w:val="none"/>
              </w:rPr>
              <w:sym w:font="Wingdings 2" w:char="0052"/>
            </w:r>
            <w:r>
              <w:rPr>
                <w:rFonts w:hint="eastAsia"/>
                <w:highlight w:val="none"/>
              </w:rPr>
              <w:t xml:space="preserve">辅导 </w:t>
            </w:r>
            <w:r>
              <w:rPr>
                <w:rFonts w:hint="eastAsia"/>
                <w:highlight w:val="none"/>
              </w:rPr>
              <w:sym w:font="Wingdings 2" w:char="00A3"/>
            </w:r>
            <w:r>
              <w:rPr>
                <w:rFonts w:hint="eastAsia"/>
                <w:highlight w:val="none"/>
              </w:rPr>
              <w:t>其他</w:t>
            </w:r>
          </w:p>
          <w:p>
            <w:pPr>
              <w:spacing w:before="120" w:line="360" w:lineRule="auto"/>
            </w:pPr>
            <w:r>
              <w:rPr>
                <w:rFonts w:hint="eastAsia" w:ascii="方正仿宋简体" w:hAnsi="Times New Roman" w:eastAsia="方正仿宋简体" w:cs="Times New Roman"/>
                <w:b/>
                <w:color w:val="FF0000"/>
                <w:u w:val="single"/>
                <w:lang w:val="en-US" w:eastAsia="zh-CN"/>
              </w:rPr>
              <w:t>在审核人员能力管理时发现，生产厂长和办公室经理没有文件化的岗位能力描述。</w:t>
            </w:r>
            <w:r>
              <w:rPr>
                <w:rFonts w:hint="eastAsia" w:ascii="方正仿宋简体" w:eastAsia="方正仿宋简体" w:cs="Times New Roman"/>
                <w:b/>
                <w:color w:val="FF0000"/>
                <w:u w:val="single"/>
                <w:lang w:val="en-US" w:eastAsia="zh-CN"/>
              </w:rPr>
              <w:t>见不符合项报告01</w:t>
            </w:r>
          </w:p>
          <w:p>
            <w:pPr>
              <w:shd w:val="clear" w:color="auto" w:fill="D6E3BC" w:themeFill="accent3" w:themeFillTint="66"/>
              <w:rPr>
                <w:highlight w:val="none"/>
              </w:rPr>
            </w:pPr>
            <w:r>
              <w:rPr>
                <w:rFonts w:hint="eastAsia"/>
                <w:highlight w:val="none"/>
              </w:rPr>
              <w:t>对国家规定持证上岗的人员资质进行了有效的管理。</w:t>
            </w:r>
          </w:p>
          <w:p>
            <w:pPr>
              <w:shd w:val="clear" w:color="auto" w:fill="D6E3BC" w:themeFill="accent3" w:themeFillTint="66"/>
              <w:rPr>
                <w:highlight w:val="none"/>
              </w:rPr>
            </w:pPr>
            <w:r>
              <w:rPr>
                <w:rFonts w:hint="eastAsia"/>
                <w:highlight w:val="none"/>
              </w:rPr>
              <w:t>特种作业人员：</w:t>
            </w:r>
            <w:r>
              <w:rPr>
                <w:rFonts w:hint="eastAsia"/>
                <w:highlight w:val="none"/>
              </w:rPr>
              <w:sym w:font="Wingdings 2" w:char="0052"/>
            </w:r>
            <w:r>
              <w:rPr>
                <w:rFonts w:hint="eastAsia"/>
                <w:highlight w:val="none"/>
              </w:rPr>
              <w:t>电工</w:t>
            </w:r>
            <w:r>
              <w:rPr>
                <w:rFonts w:hint="eastAsia"/>
                <w:highlight w:val="none"/>
                <w:lang w:eastAsia="zh-CN"/>
              </w:rPr>
              <w:t>【</w:t>
            </w:r>
            <w:r>
              <w:rPr>
                <w:rFonts w:hint="eastAsia"/>
                <w:highlight w:val="none"/>
                <w:lang w:val="en-US" w:eastAsia="zh-CN"/>
              </w:rPr>
              <w:t>已到复审时间，在办理中</w:t>
            </w:r>
            <w:r>
              <w:rPr>
                <w:rFonts w:hint="eastAsia"/>
                <w:highlight w:val="none"/>
                <w:lang w:eastAsia="zh-CN"/>
              </w:rPr>
              <w:t>】</w:t>
            </w:r>
            <w:r>
              <w:rPr>
                <w:rFonts w:hint="eastAsia"/>
                <w:highlight w:val="none"/>
              </w:rPr>
              <w:t xml:space="preserve"> □焊工  □危化品作业  □制冷工    </w:t>
            </w:r>
            <w:r>
              <w:rPr>
                <w:rFonts w:hint="eastAsia"/>
                <w:highlight w:val="none"/>
              </w:rPr>
              <w:sym w:font="Wingdings 2" w:char="00A3"/>
            </w:r>
            <w:r>
              <w:rPr>
                <w:rFonts w:hint="eastAsia"/>
                <w:highlight w:val="none"/>
              </w:rPr>
              <w:t>其他</w:t>
            </w:r>
            <w:r>
              <w:rPr>
                <w:rFonts w:hint="eastAsia"/>
                <w:highlight w:val="none"/>
                <w:lang w:eastAsia="zh-CN"/>
              </w:rPr>
              <w:t>——</w:t>
            </w:r>
            <w:r>
              <w:rPr>
                <w:rFonts w:hint="eastAsia"/>
                <w:highlight w:val="none"/>
                <w:lang w:val="en-US" w:eastAsia="zh-CN"/>
              </w:rPr>
              <w:t>无</w:t>
            </w:r>
            <w:r>
              <w:rPr>
                <w:rFonts w:hint="eastAsia"/>
                <w:highlight w:val="none"/>
              </w:rPr>
              <w:t xml:space="preserve">   </w:t>
            </w:r>
          </w:p>
          <w:p>
            <w:pPr>
              <w:shd w:val="clear" w:color="auto" w:fill="D6E3BC" w:themeFill="accent3" w:themeFillTint="66"/>
              <w:rPr>
                <w:highlight w:val="none"/>
              </w:rPr>
            </w:pPr>
            <w:r>
              <w:rPr>
                <w:rFonts w:hint="eastAsia"/>
                <w:highlight w:val="none"/>
              </w:rPr>
              <w:t>特种设备作业人员：</w:t>
            </w:r>
            <w:r>
              <w:rPr>
                <w:rFonts w:hint="eastAsia"/>
                <w:highlight w:val="none"/>
              </w:rPr>
              <w:sym w:font="Wingdings 2" w:char="0052"/>
            </w:r>
            <w:r>
              <w:rPr>
                <w:rFonts w:hint="eastAsia"/>
                <w:highlight w:val="none"/>
              </w:rPr>
              <w:t xml:space="preserve">叉车工 □行车工  </w:t>
            </w:r>
            <w:r>
              <w:rPr>
                <w:rFonts w:hint="eastAsia"/>
                <w:highlight w:val="none"/>
              </w:rPr>
              <w:sym w:font="Wingdings 2" w:char="0052"/>
            </w:r>
            <w:r>
              <w:rPr>
                <w:rFonts w:hint="eastAsia"/>
                <w:highlight w:val="none"/>
              </w:rPr>
              <w:t xml:space="preserve">锅炉工  □压力容器   </w:t>
            </w:r>
            <w:r>
              <w:rPr>
                <w:rFonts w:hint="eastAsia"/>
                <w:highlight w:val="none"/>
              </w:rPr>
              <w:sym w:font="Wingdings 2" w:char="00A3"/>
            </w:r>
            <w:r>
              <w:rPr>
                <w:rFonts w:hint="eastAsia"/>
                <w:highlight w:val="none"/>
              </w:rPr>
              <w:t>其他</w:t>
            </w:r>
            <w:r>
              <w:rPr>
                <w:rFonts w:hint="eastAsia"/>
                <w:highlight w:val="none"/>
                <w:lang w:eastAsia="zh-CN"/>
              </w:rPr>
              <w:t>——</w:t>
            </w:r>
            <w:r>
              <w:rPr>
                <w:rFonts w:hint="eastAsia"/>
                <w:highlight w:val="none"/>
                <w:lang w:val="en-US" w:eastAsia="zh-CN"/>
              </w:rPr>
              <w:t>无</w:t>
            </w:r>
            <w:r>
              <w:rPr>
                <w:rFonts w:hint="eastAsia"/>
                <w:highlight w:val="none"/>
              </w:rPr>
              <w:t xml:space="preserve">   </w:t>
            </w:r>
          </w:p>
          <w:p>
            <w:pPr>
              <w:shd w:val="clear" w:color="auto" w:fill="D6E3BC" w:themeFill="accent3" w:themeFillTint="66"/>
              <w:rPr>
                <w:rFonts w:hint="eastAsia"/>
                <w:highlight w:val="none"/>
              </w:rPr>
            </w:pPr>
            <w:r>
              <w:rPr>
                <w:rFonts w:hint="eastAsia"/>
                <w:highlight w:val="none"/>
              </w:rPr>
              <w:t>确保与产品/服务接触的员工定期（近一年）进行了健康体检，并合格上岗。</w:t>
            </w:r>
          </w:p>
          <w:tbl>
            <w:tblPr>
              <w:tblStyle w:val="11"/>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1110"/>
              <w:gridCol w:w="2194"/>
              <w:gridCol w:w="1850"/>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tcPr>
                <w:p>
                  <w:pPr>
                    <w:keepNext w:val="0"/>
                    <w:keepLines w:val="0"/>
                    <w:suppressLineNumbers w:val="0"/>
                    <w:spacing w:before="0" w:beforeAutospacing="0" w:after="0" w:afterAutospacing="0"/>
                    <w:ind w:left="0" w:right="0"/>
                    <w:rPr>
                      <w:rFonts w:hint="default"/>
                      <w:szCs w:val="20"/>
                    </w:rPr>
                  </w:pPr>
                  <w:r>
                    <w:rPr>
                      <w:rFonts w:hint="eastAsia"/>
                      <w:szCs w:val="20"/>
                    </w:rPr>
                    <w:t>岗位</w:t>
                  </w:r>
                </w:p>
              </w:tc>
              <w:tc>
                <w:tcPr>
                  <w:tcW w:w="1110" w:type="dxa"/>
                </w:tcPr>
                <w:p>
                  <w:pPr>
                    <w:keepNext w:val="0"/>
                    <w:keepLines w:val="0"/>
                    <w:suppressLineNumbers w:val="0"/>
                    <w:spacing w:before="0" w:beforeAutospacing="0" w:after="0" w:afterAutospacing="0"/>
                    <w:ind w:left="0" w:right="0"/>
                    <w:rPr>
                      <w:rFonts w:hint="default"/>
                      <w:szCs w:val="20"/>
                    </w:rPr>
                  </w:pPr>
                  <w:r>
                    <w:rPr>
                      <w:rFonts w:hint="eastAsia"/>
                      <w:szCs w:val="20"/>
                    </w:rPr>
                    <w:t>姓氏</w:t>
                  </w:r>
                </w:p>
              </w:tc>
              <w:tc>
                <w:tcPr>
                  <w:tcW w:w="2194" w:type="dxa"/>
                </w:tcPr>
                <w:p>
                  <w:pPr>
                    <w:keepNext w:val="0"/>
                    <w:keepLines w:val="0"/>
                    <w:suppressLineNumbers w:val="0"/>
                    <w:spacing w:before="0" w:beforeAutospacing="0" w:after="0" w:afterAutospacing="0"/>
                    <w:ind w:left="0" w:right="0"/>
                    <w:rPr>
                      <w:rFonts w:hint="default"/>
                      <w:szCs w:val="20"/>
                    </w:rPr>
                  </w:pPr>
                  <w:r>
                    <w:rPr>
                      <w:rFonts w:hint="eastAsia"/>
                      <w:szCs w:val="20"/>
                    </w:rPr>
                    <w:t>健康证编号</w:t>
                  </w:r>
                </w:p>
              </w:tc>
              <w:tc>
                <w:tcPr>
                  <w:tcW w:w="1850" w:type="dxa"/>
                </w:tcPr>
                <w:p>
                  <w:pPr>
                    <w:keepNext w:val="0"/>
                    <w:keepLines w:val="0"/>
                    <w:suppressLineNumbers w:val="0"/>
                    <w:spacing w:before="0" w:beforeAutospacing="0" w:after="0" w:afterAutospacing="0"/>
                    <w:ind w:left="0" w:right="0"/>
                    <w:rPr>
                      <w:rFonts w:hint="default"/>
                      <w:szCs w:val="20"/>
                    </w:rPr>
                  </w:pPr>
                  <w:r>
                    <w:rPr>
                      <w:rFonts w:hint="eastAsia"/>
                      <w:szCs w:val="20"/>
                    </w:rPr>
                    <w:t>有效期截止日期</w:t>
                  </w:r>
                </w:p>
              </w:tc>
              <w:tc>
                <w:tcPr>
                  <w:tcW w:w="1016" w:type="dxa"/>
                </w:tcPr>
                <w:p>
                  <w:pPr>
                    <w:keepNext w:val="0"/>
                    <w:keepLines w:val="0"/>
                    <w:suppressLineNumbers w:val="0"/>
                    <w:spacing w:before="0" w:beforeAutospacing="0" w:after="0" w:afterAutospacing="0"/>
                    <w:ind w:left="0" w:right="0"/>
                    <w:rPr>
                      <w:rFonts w:hint="default"/>
                      <w:szCs w:val="20"/>
                    </w:rPr>
                  </w:pPr>
                  <w:r>
                    <w:rPr>
                      <w:rFonts w:hint="eastAsia"/>
                      <w:szCs w:val="20"/>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tcPr>
                <w:p>
                  <w:pPr>
                    <w:keepNext w:val="0"/>
                    <w:keepLines w:val="0"/>
                    <w:suppressLineNumbers w:val="0"/>
                    <w:tabs>
                      <w:tab w:val="center" w:pos="1122"/>
                    </w:tabs>
                    <w:spacing w:before="0" w:beforeAutospacing="0" w:after="0" w:afterAutospacing="0"/>
                    <w:ind w:left="0" w:right="0"/>
                    <w:rPr>
                      <w:rFonts w:hint="default" w:eastAsia="宋体"/>
                      <w:sz w:val="20"/>
                      <w:szCs w:val="18"/>
                      <w:highlight w:val="none"/>
                      <w:lang w:val="en-US" w:eastAsia="zh-CN"/>
                    </w:rPr>
                  </w:pPr>
                  <w:r>
                    <w:rPr>
                      <w:rFonts w:hint="eastAsia"/>
                      <w:sz w:val="20"/>
                      <w:szCs w:val="18"/>
                      <w:highlight w:val="none"/>
                      <w:lang w:val="en-US" w:eastAsia="zh-CN"/>
                    </w:rPr>
                    <w:t>生产部操作工</w:t>
                  </w:r>
                </w:p>
              </w:tc>
              <w:tc>
                <w:tcPr>
                  <w:tcW w:w="1110" w:type="dxa"/>
                </w:tcPr>
                <w:p>
                  <w:pPr>
                    <w:keepNext w:val="0"/>
                    <w:keepLines w:val="0"/>
                    <w:suppressLineNumbers w:val="0"/>
                    <w:spacing w:before="0" w:beforeAutospacing="0" w:after="0" w:afterAutospacing="0"/>
                    <w:ind w:left="0" w:right="0"/>
                    <w:rPr>
                      <w:rFonts w:hint="default" w:eastAsia="宋体"/>
                      <w:szCs w:val="20"/>
                      <w:highlight w:val="none"/>
                      <w:lang w:val="en-US" w:eastAsia="zh-CN"/>
                    </w:rPr>
                  </w:pPr>
                  <w:r>
                    <w:rPr>
                      <w:rFonts w:hint="eastAsia"/>
                      <w:sz w:val="20"/>
                      <w:szCs w:val="18"/>
                      <w:highlight w:val="none"/>
                      <w:lang w:val="en-US" w:eastAsia="zh-CN"/>
                    </w:rPr>
                    <w:t>李艳华</w:t>
                  </w:r>
                </w:p>
              </w:tc>
              <w:tc>
                <w:tcPr>
                  <w:tcW w:w="2194" w:type="dxa"/>
                </w:tcPr>
                <w:p>
                  <w:pPr>
                    <w:keepNext w:val="0"/>
                    <w:keepLines w:val="0"/>
                    <w:suppressLineNumbers w:val="0"/>
                    <w:spacing w:before="0" w:beforeAutospacing="0" w:after="0" w:afterAutospacing="0"/>
                    <w:ind w:left="0" w:right="0"/>
                    <w:rPr>
                      <w:rFonts w:hint="default" w:eastAsia="宋体"/>
                      <w:szCs w:val="20"/>
                      <w:highlight w:val="none"/>
                      <w:lang w:val="en-US" w:eastAsia="zh-CN"/>
                    </w:rPr>
                  </w:pPr>
                  <w:r>
                    <w:rPr>
                      <w:rFonts w:hint="eastAsia"/>
                      <w:szCs w:val="20"/>
                      <w:highlight w:val="none"/>
                      <w:lang w:val="en-US" w:eastAsia="zh-CN"/>
                    </w:rPr>
                    <w:t>冀13080422000326</w:t>
                  </w:r>
                </w:p>
              </w:tc>
              <w:tc>
                <w:tcPr>
                  <w:tcW w:w="1850" w:type="dxa"/>
                </w:tcPr>
                <w:p>
                  <w:pPr>
                    <w:keepNext w:val="0"/>
                    <w:keepLines w:val="0"/>
                    <w:suppressLineNumbers w:val="0"/>
                    <w:spacing w:before="0" w:beforeAutospacing="0" w:after="0" w:afterAutospacing="0"/>
                    <w:ind w:left="0" w:right="0"/>
                    <w:rPr>
                      <w:rFonts w:hint="default" w:eastAsia="宋体"/>
                      <w:szCs w:val="20"/>
                      <w:highlight w:val="none"/>
                      <w:lang w:val="en-US" w:eastAsia="zh-CN"/>
                    </w:rPr>
                  </w:pPr>
                  <w:r>
                    <w:rPr>
                      <w:rFonts w:hint="eastAsia"/>
                      <w:szCs w:val="20"/>
                      <w:highlight w:val="none"/>
                      <w:lang w:val="en-US" w:eastAsia="zh-CN"/>
                    </w:rPr>
                    <w:t>2023-03-21</w:t>
                  </w:r>
                </w:p>
              </w:tc>
              <w:tc>
                <w:tcPr>
                  <w:tcW w:w="1016" w:type="dxa"/>
                </w:tcPr>
                <w:p>
                  <w:pPr>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tcPr>
                <w:p>
                  <w:pPr>
                    <w:keepNext w:val="0"/>
                    <w:keepLines w:val="0"/>
                    <w:suppressLineNumbers w:val="0"/>
                    <w:spacing w:before="0" w:beforeAutospacing="0" w:after="0" w:afterAutospacing="0"/>
                    <w:ind w:left="0" w:right="0"/>
                    <w:rPr>
                      <w:rFonts w:hint="default" w:eastAsia="宋体"/>
                      <w:szCs w:val="20"/>
                      <w:lang w:val="en-US" w:eastAsia="zh-CN"/>
                    </w:rPr>
                  </w:pPr>
                  <w:r>
                    <w:rPr>
                      <w:rFonts w:hint="eastAsia"/>
                      <w:szCs w:val="20"/>
                      <w:lang w:val="en-US" w:eastAsia="zh-CN"/>
                    </w:rPr>
                    <w:t>库管员</w:t>
                  </w:r>
                </w:p>
              </w:tc>
              <w:tc>
                <w:tcPr>
                  <w:tcW w:w="1110" w:type="dxa"/>
                  <w:vAlign w:val="top"/>
                </w:tcPr>
                <w:p>
                  <w:pPr>
                    <w:keepNext w:val="0"/>
                    <w:keepLines w:val="0"/>
                    <w:suppressLineNumbers w:val="0"/>
                    <w:spacing w:before="0" w:beforeAutospacing="0" w:after="0" w:afterAutospacing="0"/>
                    <w:ind w:left="0" w:right="0"/>
                    <w:rPr>
                      <w:rFonts w:hint="default"/>
                      <w:szCs w:val="20"/>
                      <w:lang w:val="en-US"/>
                    </w:rPr>
                  </w:pPr>
                  <w:r>
                    <w:rPr>
                      <w:rFonts w:hint="eastAsia"/>
                      <w:szCs w:val="20"/>
                      <w:lang w:val="en-US" w:eastAsia="zh-CN"/>
                    </w:rPr>
                    <w:t>董海琴</w:t>
                  </w:r>
                </w:p>
              </w:tc>
              <w:tc>
                <w:tcPr>
                  <w:tcW w:w="2194" w:type="dxa"/>
                  <w:vAlign w:val="top"/>
                </w:tcPr>
                <w:p>
                  <w:pPr>
                    <w:keepNext w:val="0"/>
                    <w:keepLines w:val="0"/>
                    <w:suppressLineNumbers w:val="0"/>
                    <w:spacing w:before="0" w:beforeAutospacing="0" w:after="0" w:afterAutospacing="0"/>
                    <w:ind w:left="0" w:leftChars="0" w:right="0" w:rightChars="0"/>
                    <w:rPr>
                      <w:rFonts w:hint="default"/>
                      <w:szCs w:val="20"/>
                      <w:lang w:val="en-US"/>
                    </w:rPr>
                  </w:pPr>
                  <w:r>
                    <w:rPr>
                      <w:rFonts w:hint="eastAsia"/>
                      <w:szCs w:val="20"/>
                      <w:highlight w:val="none"/>
                      <w:lang w:val="en-US" w:eastAsia="zh-CN"/>
                    </w:rPr>
                    <w:t>冀13080422000331</w:t>
                  </w:r>
                </w:p>
              </w:tc>
              <w:tc>
                <w:tcPr>
                  <w:tcW w:w="1850" w:type="dxa"/>
                  <w:vAlign w:val="top"/>
                </w:tcPr>
                <w:p>
                  <w:pPr>
                    <w:keepNext w:val="0"/>
                    <w:keepLines w:val="0"/>
                    <w:suppressLineNumbers w:val="0"/>
                    <w:spacing w:before="0" w:beforeAutospacing="0" w:after="0" w:afterAutospacing="0"/>
                    <w:ind w:left="0" w:leftChars="0" w:right="0" w:rightChars="0"/>
                    <w:rPr>
                      <w:rFonts w:hint="default"/>
                      <w:szCs w:val="20"/>
                      <w:lang w:val="en-US"/>
                    </w:rPr>
                  </w:pPr>
                  <w:r>
                    <w:rPr>
                      <w:rFonts w:hint="eastAsia"/>
                      <w:szCs w:val="20"/>
                      <w:highlight w:val="none"/>
                      <w:lang w:val="en-US" w:eastAsia="zh-CN"/>
                    </w:rPr>
                    <w:t>2023-03-21</w:t>
                  </w:r>
                </w:p>
              </w:tc>
              <w:tc>
                <w:tcPr>
                  <w:tcW w:w="1016" w:type="dxa"/>
                  <w:vAlign w:val="top"/>
                </w:tcPr>
                <w:p>
                  <w:pPr>
                    <w:keepNext w:val="0"/>
                    <w:keepLines w:val="0"/>
                    <w:suppressLineNumbers w:val="0"/>
                    <w:spacing w:before="0" w:beforeAutospacing="0" w:after="0" w:afterAutospacing="0"/>
                    <w:ind w:left="0" w:right="0"/>
                    <w:rPr>
                      <w:rFonts w:hint="default"/>
                      <w:szCs w:val="20"/>
                    </w:rPr>
                  </w:pPr>
                  <w:r>
                    <w:rPr>
                      <w:rFonts w:hint="eastAsia"/>
                      <w:szCs w:val="20"/>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460" w:type="dxa"/>
                </w:tcPr>
                <w:p>
                  <w:pPr>
                    <w:keepNext w:val="0"/>
                    <w:keepLines w:val="0"/>
                    <w:suppressLineNumbers w:val="0"/>
                    <w:spacing w:before="0" w:beforeAutospacing="0" w:after="0" w:afterAutospacing="0"/>
                    <w:ind w:left="0" w:right="0"/>
                    <w:rPr>
                      <w:rFonts w:hint="default" w:eastAsia="宋体"/>
                      <w:szCs w:val="20"/>
                      <w:lang w:val="en-US" w:eastAsia="zh-CN"/>
                    </w:rPr>
                  </w:pPr>
                  <w:r>
                    <w:rPr>
                      <w:rFonts w:hint="eastAsia"/>
                      <w:szCs w:val="20"/>
                      <w:lang w:val="en-US" w:eastAsia="zh-CN"/>
                    </w:rPr>
                    <w:t>食安小组组长</w:t>
                  </w:r>
                </w:p>
              </w:tc>
              <w:tc>
                <w:tcPr>
                  <w:tcW w:w="1110" w:type="dxa"/>
                  <w:vAlign w:val="top"/>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张占平</w:t>
                  </w:r>
                </w:p>
              </w:tc>
              <w:tc>
                <w:tcPr>
                  <w:tcW w:w="2194"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highlight w:val="none"/>
                      <w:lang w:val="en-US" w:eastAsia="zh-CN" w:bidi="ar-SA"/>
                    </w:rPr>
                  </w:pPr>
                  <w:r>
                    <w:rPr>
                      <w:rFonts w:hint="eastAsia"/>
                      <w:szCs w:val="20"/>
                      <w:highlight w:val="none"/>
                      <w:lang w:val="en-US" w:eastAsia="zh-CN"/>
                    </w:rPr>
                    <w:t>冀13080422000789</w:t>
                  </w:r>
                </w:p>
              </w:tc>
              <w:tc>
                <w:tcPr>
                  <w:tcW w:w="1850" w:type="dxa"/>
                  <w:vAlign w:val="top"/>
                </w:tcPr>
                <w:p>
                  <w:pPr>
                    <w:keepNext w:val="0"/>
                    <w:keepLines w:val="0"/>
                    <w:suppressLineNumbers w:val="0"/>
                    <w:spacing w:before="0" w:beforeAutospacing="0" w:after="0" w:afterAutospacing="0"/>
                    <w:ind w:left="0" w:right="0"/>
                    <w:rPr>
                      <w:rFonts w:hint="default"/>
                      <w:szCs w:val="20"/>
                      <w:lang w:val="en-US"/>
                    </w:rPr>
                  </w:pPr>
                  <w:r>
                    <w:rPr>
                      <w:rFonts w:hint="eastAsia"/>
                      <w:szCs w:val="20"/>
                      <w:lang w:val="en-US" w:eastAsia="zh-CN"/>
                    </w:rPr>
                    <w:t>2023-04-18</w:t>
                  </w:r>
                </w:p>
              </w:tc>
              <w:tc>
                <w:tcPr>
                  <w:tcW w:w="1016" w:type="dxa"/>
                  <w:vAlign w:val="top"/>
                </w:tcPr>
                <w:p>
                  <w:pPr>
                    <w:keepNext w:val="0"/>
                    <w:keepLines w:val="0"/>
                    <w:suppressLineNumbers w:val="0"/>
                    <w:spacing w:before="0" w:beforeAutospacing="0" w:after="0" w:afterAutospacing="0"/>
                    <w:ind w:left="0" w:right="0"/>
                    <w:rPr>
                      <w:rFonts w:hint="default"/>
                      <w:szCs w:val="20"/>
                    </w:rPr>
                  </w:pPr>
                  <w:r>
                    <w:rPr>
                      <w:rFonts w:hint="eastAsia"/>
                      <w:szCs w:val="20"/>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460" w:type="dxa"/>
                </w:tcPr>
                <w:p>
                  <w:pPr>
                    <w:keepNext w:val="0"/>
                    <w:keepLines w:val="0"/>
                    <w:suppressLineNumbers w:val="0"/>
                    <w:spacing w:before="0" w:beforeAutospacing="0" w:after="0" w:afterAutospacing="0"/>
                    <w:ind w:left="0" w:right="0"/>
                    <w:rPr>
                      <w:rFonts w:hint="default"/>
                      <w:szCs w:val="20"/>
                      <w:lang w:val="en-US" w:eastAsia="zh-CN"/>
                    </w:rPr>
                  </w:pPr>
                  <w:r>
                    <w:rPr>
                      <w:rFonts w:hint="eastAsia"/>
                      <w:szCs w:val="20"/>
                      <w:lang w:val="en-US" w:eastAsia="zh-CN"/>
                    </w:rPr>
                    <w:t>生产厂长</w:t>
                  </w:r>
                </w:p>
              </w:tc>
              <w:tc>
                <w:tcPr>
                  <w:tcW w:w="1110" w:type="dxa"/>
                  <w:vAlign w:val="top"/>
                </w:tcPr>
                <w:p>
                  <w:pPr>
                    <w:keepNext w:val="0"/>
                    <w:keepLines w:val="0"/>
                    <w:suppressLineNumbers w:val="0"/>
                    <w:spacing w:before="0" w:beforeAutospacing="0" w:after="0" w:afterAutospacing="0"/>
                    <w:ind w:left="0" w:right="0"/>
                    <w:rPr>
                      <w:rFonts w:hint="default"/>
                      <w:szCs w:val="20"/>
                      <w:lang w:val="en-US" w:eastAsia="zh-CN"/>
                    </w:rPr>
                  </w:pPr>
                  <w:r>
                    <w:rPr>
                      <w:rFonts w:hint="eastAsia"/>
                      <w:szCs w:val="20"/>
                      <w:lang w:val="en-US" w:eastAsia="zh-CN"/>
                    </w:rPr>
                    <w:t>邓伟莉</w:t>
                  </w:r>
                </w:p>
              </w:tc>
              <w:tc>
                <w:tcPr>
                  <w:tcW w:w="2194"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szCs w:val="20"/>
                      <w:highlight w:val="none"/>
                      <w:lang w:val="en-US" w:eastAsia="zh-CN"/>
                    </w:rPr>
                    <w:t>冀13080422000785</w:t>
                  </w:r>
                </w:p>
              </w:tc>
              <w:tc>
                <w:tcPr>
                  <w:tcW w:w="1850" w:type="dxa"/>
                  <w:vAlign w:val="top"/>
                </w:tcPr>
                <w:p>
                  <w:pPr>
                    <w:keepNext w:val="0"/>
                    <w:keepLines w:val="0"/>
                    <w:suppressLineNumbers w:val="0"/>
                    <w:spacing w:before="0" w:beforeAutospacing="0" w:after="0" w:afterAutospacing="0"/>
                    <w:ind w:left="0" w:right="0"/>
                    <w:rPr>
                      <w:rFonts w:hint="default"/>
                      <w:szCs w:val="20"/>
                      <w:lang w:val="en-US" w:eastAsia="zh-CN"/>
                    </w:rPr>
                  </w:pPr>
                  <w:r>
                    <w:rPr>
                      <w:rFonts w:hint="eastAsia"/>
                      <w:szCs w:val="20"/>
                      <w:lang w:val="en-US" w:eastAsia="zh-CN"/>
                    </w:rPr>
                    <w:t>2023-04-18</w:t>
                  </w:r>
                </w:p>
              </w:tc>
              <w:tc>
                <w:tcPr>
                  <w:tcW w:w="1016" w:type="dxa"/>
                  <w:vAlign w:val="top"/>
                </w:tcPr>
                <w:p>
                  <w:pPr>
                    <w:keepNext w:val="0"/>
                    <w:keepLines w:val="0"/>
                    <w:suppressLineNumbers w:val="0"/>
                    <w:spacing w:before="0" w:beforeAutospacing="0" w:after="0" w:afterAutospacing="0"/>
                    <w:ind w:left="0" w:right="0"/>
                    <w:rPr>
                      <w:rFonts w:hint="eastAsia"/>
                      <w:szCs w:val="20"/>
                    </w:rPr>
                  </w:pPr>
                  <w:r>
                    <w:rPr>
                      <w:rFonts w:hint="eastAsia"/>
                      <w:szCs w:val="20"/>
                    </w:rPr>
                    <w:t>有效</w:t>
                  </w:r>
                </w:p>
              </w:tc>
            </w:tr>
          </w:tbl>
          <w:p>
            <w:pPr>
              <w:pStyle w:val="6"/>
              <w:shd w:val="clear" w:fill="D6E3BC" w:themeFill="accent3" w:themeFillTint="66"/>
              <w:rPr>
                <w:rFonts w:hint="eastAsia"/>
                <w:highlight w:val="yellow"/>
              </w:rPr>
            </w:pPr>
          </w:p>
          <w:p>
            <w:pPr>
              <w:pStyle w:val="6"/>
              <w:shd w:val="clear" w:fill="D6E3BC" w:themeFill="accent3" w:themeFillTint="66"/>
              <w:rPr>
                <w:rFonts w:hint="eastAsia"/>
                <w:highlight w:val="yellow"/>
              </w:rPr>
            </w:pPr>
          </w:p>
          <w:p>
            <w:pPr>
              <w:shd w:val="clear" w:color="auto" w:fill="D6E3BC" w:themeFill="accent3" w:themeFillTint="66"/>
              <w:rPr>
                <w:highlight w:val="none"/>
              </w:rPr>
            </w:pPr>
            <w:r>
              <w:rPr>
                <w:rFonts w:hint="eastAsia"/>
                <w:highlight w:val="none"/>
              </w:rPr>
              <w:t>确保食品安全小组在制定和实施食品安全管理体系（包括但不限于本组织在食品安全管理体系范围内的产品、工艺、设备和食品安全危害）方面具有多学科知识和经验的结合；</w:t>
            </w:r>
          </w:p>
          <w:p>
            <w:pPr>
              <w:shd w:val="clear" w:fill="D6E3BC" w:themeFill="accent3" w:themeFillTint="66"/>
              <w:tabs>
                <w:tab w:val="left" w:pos="510"/>
              </w:tabs>
              <w:autoSpaceDE w:val="0"/>
              <w:autoSpaceDN w:val="0"/>
              <w:adjustRightInd w:val="0"/>
              <w:ind w:right="6"/>
              <w:rPr>
                <w:highlight w:val="none"/>
              </w:rPr>
            </w:pPr>
            <w:r>
              <w:rPr>
                <w:rFonts w:hint="eastAsia"/>
                <w:highlight w:val="none"/>
              </w:rPr>
              <w:t>食品安全小组包括以下组员/职能：</w:t>
            </w:r>
          </w:p>
          <w:p>
            <w:pPr>
              <w:shd w:val="clear" w:fill="D6E3BC" w:themeFill="accent3" w:themeFillTint="66"/>
              <w:tabs>
                <w:tab w:val="left" w:pos="510"/>
              </w:tabs>
              <w:autoSpaceDE w:val="0"/>
              <w:autoSpaceDN w:val="0"/>
              <w:adjustRightInd w:val="0"/>
              <w:ind w:right="6"/>
              <w:rPr>
                <w:rFonts w:hint="default" w:eastAsia="宋体"/>
                <w:highlight w:val="none"/>
                <w:lang w:val="en-US" w:eastAsia="zh-CN"/>
              </w:rPr>
            </w:pPr>
            <w:r>
              <w:rPr>
                <w:rFonts w:hint="eastAsia"/>
                <w:highlight w:val="none"/>
              </w:rPr>
              <w:t>☑管理者代表 (食品安全小组组长) 、☑</w:t>
            </w:r>
            <w:r>
              <w:rPr>
                <w:rFonts w:hint="eastAsia"/>
                <w:highlight w:val="none"/>
                <w:lang w:val="en-US" w:eastAsia="zh-CN"/>
              </w:rPr>
              <w:t>生产部</w:t>
            </w:r>
            <w:r>
              <w:rPr>
                <w:rFonts w:hint="eastAsia"/>
                <w:highlight w:val="none"/>
              </w:rPr>
              <w:t xml:space="preserve">人员、 </w:t>
            </w:r>
            <w:r>
              <w:rPr>
                <w:rFonts w:hint="eastAsia"/>
                <w:highlight w:val="none"/>
                <w:lang w:eastAsia="zh-CN"/>
              </w:rPr>
              <w:sym w:font="Wingdings 2" w:char="0052"/>
            </w:r>
            <w:r>
              <w:rPr>
                <w:rFonts w:hint="eastAsia"/>
                <w:highlight w:val="none"/>
                <w:lang w:val="en-US" w:eastAsia="zh-CN"/>
              </w:rPr>
              <w:t>办公室</w:t>
            </w:r>
            <w:r>
              <w:rPr>
                <w:rFonts w:hint="eastAsia"/>
                <w:highlight w:val="none"/>
              </w:rPr>
              <w:t>人员、</w:t>
            </w:r>
            <w:r>
              <w:rPr>
                <w:rFonts w:hint="eastAsia"/>
                <w:highlight w:val="none"/>
                <w:lang w:eastAsia="zh-CN"/>
              </w:rPr>
              <w:sym w:font="Wingdings 2" w:char="0052"/>
            </w:r>
            <w:r>
              <w:rPr>
                <w:rFonts w:hint="eastAsia"/>
                <w:highlight w:val="none"/>
                <w:lang w:val="en-US" w:eastAsia="zh-CN"/>
              </w:rPr>
              <w:t>质检部</w:t>
            </w:r>
            <w:r>
              <w:rPr>
                <w:rFonts w:hint="eastAsia"/>
                <w:highlight w:val="none"/>
              </w:rPr>
              <w:t>人员、</w:t>
            </w:r>
            <w:r>
              <w:rPr>
                <w:rFonts w:hint="eastAsia"/>
                <w:highlight w:val="none"/>
              </w:rPr>
              <w:sym w:font="Wingdings" w:char="00A8"/>
            </w:r>
            <w:r>
              <w:rPr>
                <w:rFonts w:hint="eastAsia"/>
                <w:highlight w:val="none"/>
                <w:lang w:val="en-US" w:eastAsia="zh-CN"/>
              </w:rPr>
              <w:t>客服部</w:t>
            </w:r>
            <w:r>
              <w:rPr>
                <w:rFonts w:hint="eastAsia"/>
                <w:highlight w:val="none"/>
              </w:rPr>
              <w:t>人员、</w:t>
            </w:r>
            <w:r>
              <w:rPr>
                <w:rFonts w:hint="eastAsia"/>
                <w:highlight w:val="none"/>
              </w:rPr>
              <w:sym w:font="Wingdings" w:char="00FE"/>
            </w:r>
            <w:r>
              <w:rPr>
                <w:rFonts w:hint="eastAsia"/>
                <w:highlight w:val="none"/>
                <w:lang w:val="en-US" w:eastAsia="zh-CN"/>
              </w:rPr>
              <w:t xml:space="preserve">供销部人员   </w:t>
            </w:r>
            <w:r>
              <w:rPr>
                <w:rFonts w:hint="eastAsia"/>
                <w:highlight w:val="none"/>
              </w:rPr>
              <w:t xml:space="preserve"> </w:t>
            </w:r>
            <w:r>
              <w:rPr>
                <w:rFonts w:hint="eastAsia"/>
                <w:highlight w:val="none"/>
              </w:rPr>
              <w:sym w:font="Wingdings" w:char="00A8"/>
            </w:r>
            <w:r>
              <w:rPr>
                <w:rFonts w:hint="eastAsia"/>
                <w:highlight w:val="none"/>
                <w:lang w:val="en-US" w:eastAsia="zh-CN"/>
              </w:rPr>
              <w:t>采购部人员</w:t>
            </w:r>
          </w:p>
          <w:p>
            <w:pPr>
              <w:shd w:val="clear" w:color="auto"/>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pStyle w:val="15"/>
              <w:shd w:val="clear"/>
              <w:rPr>
                <w:rFonts w:hint="default" w:eastAsia="宋体"/>
                <w:lang w:val="en-US" w:eastAsia="zh-CN"/>
              </w:rPr>
            </w:pPr>
            <w:r>
              <w:rPr>
                <w:rFonts w:hint="eastAsia"/>
              </w:rPr>
              <w:t xml:space="preserve">通过方式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FE"/>
            </w:r>
            <w:r>
              <w:rPr>
                <w:rFonts w:hint="eastAsia"/>
              </w:rPr>
              <w:t xml:space="preserve">宣传材料  </w:t>
            </w:r>
            <w:r>
              <w:rPr>
                <w:rFonts w:hint="eastAsia"/>
              </w:rPr>
              <w:sym w:font="Wingdings" w:char="00FE"/>
            </w:r>
            <w:r>
              <w:rPr>
                <w:rFonts w:hint="eastAsia"/>
              </w:rPr>
              <w:t>其他</w:t>
            </w:r>
            <w:r>
              <w:rPr>
                <w:rFonts w:hint="eastAsia"/>
                <w:lang w:eastAsia="zh-CN"/>
              </w:rPr>
              <w:t>——</w:t>
            </w:r>
            <w:r>
              <w:rPr>
                <w:rFonts w:hint="eastAsia"/>
                <w:lang w:val="en-US" w:eastAsia="zh-CN"/>
              </w:rPr>
              <w:t>投标信息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pPr>
            <w:r>
              <w:rPr>
                <w:rFonts w:hint="eastAsia"/>
              </w:rPr>
              <w:t>组织已确定与食品安全管理体系相关的内部和外部沟通。</w:t>
            </w:r>
          </w:p>
          <w:p>
            <w:pPr>
              <w:shd w:val="clear" w:color="auto"/>
              <w:rPr>
                <w:rFonts w:hint="default" w:eastAsia="宋体"/>
                <w:lang w:val="en-US" w:eastAsia="zh-CN"/>
              </w:rPr>
            </w:pPr>
            <w:r>
              <w:rPr>
                <w:rFonts w:hint="eastAsia"/>
              </w:rPr>
              <w:t xml:space="preserve">沟通方式：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lang w:eastAsia="zh-CN"/>
              </w:rPr>
              <w:t>□</w:t>
            </w:r>
            <w:r>
              <w:rPr>
                <w:rFonts w:hint="eastAsia"/>
              </w:rPr>
              <w:t xml:space="preserve">宣传材料  </w:t>
            </w:r>
            <w:r>
              <w:rPr>
                <w:rFonts w:hint="eastAsia"/>
              </w:rPr>
              <w:sym w:font="Wingdings" w:char="00FE"/>
            </w:r>
            <w:r>
              <w:rPr>
                <w:rFonts w:hint="eastAsia"/>
              </w:rPr>
              <w:t>其他</w:t>
            </w:r>
            <w:r>
              <w:rPr>
                <w:rFonts w:hint="eastAsia"/>
                <w:lang w:eastAsia="zh-CN"/>
              </w:rPr>
              <w:t>——</w:t>
            </w:r>
            <w:r>
              <w:rPr>
                <w:rFonts w:hint="eastAsia"/>
                <w:lang w:val="en-US" w:eastAsia="zh-CN"/>
              </w:rPr>
              <w:t>微信等</w:t>
            </w:r>
          </w:p>
          <w:p>
            <w:pPr>
              <w:shd w:val="clear" w:color="auto"/>
            </w:pPr>
            <w:r>
              <w:rPr>
                <w:rFonts w:hint="eastAsia"/>
              </w:rPr>
              <w:t>内部沟通信息：☑</w:t>
            </w:r>
            <w:r>
              <w:rPr>
                <w:rFonts w:hint="eastAsia"/>
                <w:lang w:val="en-US" w:eastAsia="zh-CN"/>
              </w:rPr>
              <w:t>P</w:t>
            </w:r>
            <w:r>
              <w:rPr>
                <w:rFonts w:hint="eastAsia"/>
              </w:rPr>
              <w:t>RP</w:t>
            </w:r>
            <w:r>
              <w:rPr>
                <w:rFonts w:hint="eastAsia"/>
                <w:lang w:val="en-US" w:eastAsia="zh-CN"/>
              </w:rPr>
              <w:t xml:space="preserve">   </w:t>
            </w:r>
            <w:r>
              <w:rPr>
                <w:rFonts w:hint="eastAsia"/>
              </w:rPr>
              <w:t xml:space="preserve">  ☑</w:t>
            </w:r>
            <w:r>
              <w:rPr>
                <w:rFonts w:hint="eastAsia"/>
                <w:lang w:val="en-US" w:eastAsia="zh-CN"/>
              </w:rPr>
              <w:t>危害控制</w:t>
            </w:r>
            <w:r>
              <w:rPr>
                <w:rFonts w:hint="eastAsia"/>
              </w:rPr>
              <w:t xml:space="preserve">计划  ☑人员能力和职责  ☑法规和顾客要求 </w:t>
            </w:r>
          </w:p>
          <w:p>
            <w:pPr>
              <w:shd w:val="clear" w:color="auto"/>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pPr>
            <w:r>
              <w:rPr>
                <w:rFonts w:hint="eastAsia"/>
              </w:rPr>
              <w:t>外部沟通对象：</w:t>
            </w:r>
            <w:r>
              <w:rPr>
                <w:rFonts w:hint="eastAsia"/>
                <w:lang w:eastAsia="zh-CN"/>
              </w:rPr>
              <w:sym w:font="Wingdings 2" w:char="0052"/>
            </w:r>
            <w:r>
              <w:t>供方</w:t>
            </w:r>
            <w:r>
              <w:rPr>
                <w:rFonts w:hint="eastAsia"/>
              </w:rPr>
              <w:t xml:space="preserve">  </w:t>
            </w:r>
            <w:r>
              <w:rPr>
                <w:rFonts w:hint="eastAsia"/>
              </w:rPr>
              <w:sym w:font="Wingdings" w:char="00A8"/>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pStyle w:val="15"/>
              <w:shd w:val="clear"/>
              <w:rPr>
                <w:rFonts w:hint="eastAsia"/>
              </w:rPr>
            </w:pPr>
            <w:r>
              <w:rPr>
                <w:rFonts w:hint="eastAsia"/>
              </w:rPr>
              <w:sym w:font="Wingdings" w:char="00FE"/>
            </w:r>
            <w:r>
              <w:rPr>
                <w:rFonts w:hint="eastAsia"/>
              </w:rPr>
              <w:t>食品链中其他组织</w:t>
            </w:r>
            <w:r>
              <w:rPr>
                <w:rFonts w:hint="eastAsia"/>
                <w:lang w:eastAsia="zh-CN"/>
              </w:rPr>
              <w:t>——</w:t>
            </w:r>
            <w:r>
              <w:rPr>
                <w:rFonts w:hint="eastAsia"/>
                <w:lang w:val="en-US" w:eastAsia="zh-CN"/>
              </w:rPr>
              <w:t>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pPr>
            <w:r>
              <w:rPr>
                <w:rFonts w:hint="eastAsia"/>
              </w:rPr>
              <w:t>组织已建立了文件化的</w:t>
            </w:r>
            <w:r>
              <w:t>食品安全</w:t>
            </w:r>
            <w:r>
              <w:rPr>
                <w:rFonts w:hint="eastAsia"/>
              </w:rPr>
              <w:t xml:space="preserve">管理体系。对自编文件的编制、审批、发放、变更和作废进行了控制。 </w:t>
            </w:r>
          </w:p>
          <w:p>
            <w:pPr>
              <w:shd w:val="clear" w:color="auto"/>
              <w:rPr>
                <w:u w:val="single"/>
              </w:rPr>
            </w:pPr>
            <w:r>
              <w:rPr>
                <w:rFonts w:hint="eastAsia"/>
              </w:rPr>
              <w:t xml:space="preserve">☑体系文件受控 </w:t>
            </w:r>
            <w:r>
              <w:rPr>
                <w:rFonts w:hint="eastAsia"/>
                <w:lang w:val="en-US" w:eastAsia="zh-CN"/>
              </w:rPr>
              <w:t xml:space="preserve"> </w:t>
            </w:r>
            <w:r>
              <w:rPr>
                <w:rFonts w:hint="eastAsia"/>
                <w:lang w:eastAsia="zh-CN"/>
              </w:rPr>
              <w:t>□</w:t>
            </w:r>
            <w:r>
              <w:rPr>
                <w:rFonts w:hint="eastAsia"/>
              </w:rPr>
              <w:t>体系文件基本受控，存在问题：</w:t>
            </w:r>
            <w:r>
              <w:rPr>
                <w:rFonts w:hint="eastAsia"/>
                <w:u w:val="single"/>
              </w:rPr>
              <w:t xml:space="preserve">                           </w:t>
            </w:r>
          </w:p>
          <w:p>
            <w:pPr>
              <w:shd w:val="clear" w:color="auto"/>
            </w:pPr>
            <w:r>
              <w:rPr>
                <w:rFonts w:hint="eastAsia"/>
              </w:rPr>
              <w:t>对</w:t>
            </w:r>
            <w:r>
              <w:t>食品安全</w:t>
            </w:r>
            <w:r>
              <w:rPr>
                <w:rFonts w:hint="eastAsia"/>
              </w:rPr>
              <w:t>相关的外来文件（法律法规、产品标准）进行了识别和贯彻。</w:t>
            </w:r>
          </w:p>
          <w:p>
            <w:pPr>
              <w:shd w:val="clear" w:color="auto"/>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pPr>
          </w:p>
          <w:p>
            <w:pPr>
              <w:shd w:val="clear" w:color="auto"/>
            </w:pPr>
            <w:r>
              <w:rPr>
                <w:rFonts w:hint="eastAsia"/>
              </w:rPr>
              <w:t>对FSMS和产品相关的运行记录进行了保留、储存、保护、检索查询、处置等管理。</w:t>
            </w:r>
          </w:p>
          <w:p>
            <w:pPr>
              <w:shd w:val="clear" w:color="auto"/>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restart"/>
            <w:shd w:val="clear" w:color="auto" w:fill="D6E3BC" w:themeFill="accent3" w:themeFillTint="66"/>
          </w:tcPr>
          <w:p>
            <w:pPr>
              <w:shd w:val="clear" w:color="auto"/>
            </w:pPr>
            <w:r>
              <w:rPr>
                <w:rFonts w:hint="eastAsia"/>
              </w:rPr>
              <w:t>运行</w:t>
            </w:r>
          </w:p>
        </w:tc>
        <w:tc>
          <w:tcPr>
            <w:tcW w:w="9282" w:type="dxa"/>
            <w:shd w:val="clear" w:color="auto" w:fill="D6E3BC" w:themeFill="accent3" w:themeFillTint="66"/>
          </w:tcPr>
          <w:p>
            <w:pPr>
              <w:shd w:val="clear" w:color="auto"/>
            </w:pPr>
            <w:r>
              <w:rPr>
                <w:rFonts w:hint="eastAsia"/>
              </w:rPr>
              <w:t>组织为对安全产品和服务提供满足的要求，已对产品和服务提供的过程（见4.4）进行策划、实施和控制。策划文件包括：</w:t>
            </w:r>
          </w:p>
          <w:p>
            <w:pPr>
              <w:shd w:val="clear" w:color="auto"/>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接收准则</w:t>
            </w:r>
            <w:r>
              <w:rPr>
                <w:rFonts w:hint="eastAsia"/>
                <w:lang w:val="en-US" w:eastAsia="zh-CN"/>
              </w:rPr>
              <w:t>/采购程序</w:t>
            </w:r>
            <w:r>
              <w:rPr>
                <w:rFonts w:hint="eastAsia"/>
              </w:rPr>
              <w:t xml:space="preserve"> </w:t>
            </w:r>
            <w:r>
              <w:rPr>
                <w:rFonts w:hint="eastAsia"/>
                <w:lang w:eastAsia="zh-CN"/>
              </w:rPr>
              <w:sym w:font="Wingdings 2" w:char="00A3"/>
            </w:r>
            <w:r>
              <w:rPr>
                <w:rFonts w:hint="eastAsia"/>
              </w:rPr>
              <w:t xml:space="preserve">外包控制要求  </w:t>
            </w:r>
          </w:p>
          <w:p>
            <w:pPr>
              <w:shd w:val="clear" w:color="auto"/>
              <w:ind w:firstLine="210" w:firstLineChars="100"/>
            </w:pPr>
            <w:r>
              <w:rPr>
                <w:rFonts w:hint="eastAsia"/>
                <w:lang w:eastAsia="zh-CN"/>
              </w:rPr>
              <w:sym w:font="Wingdings 2" w:char="0052"/>
            </w:r>
            <w:r>
              <w:rPr>
                <w:rFonts w:hint="eastAsia"/>
                <w:lang w:val="en-US" w:eastAsia="zh-CN"/>
              </w:rPr>
              <w:t>前</w:t>
            </w:r>
            <w:r>
              <w:rPr>
                <w:rFonts w:hint="eastAsia"/>
              </w:rPr>
              <w:t>提方案 ☑</w:t>
            </w:r>
            <w:r>
              <w:rPr>
                <w:rFonts w:hint="eastAsia"/>
                <w:lang w:val="en-US" w:eastAsia="zh-CN"/>
              </w:rPr>
              <w:t>危害控制</w:t>
            </w:r>
            <w:r>
              <w:rPr>
                <w:rFonts w:hint="eastAsia"/>
              </w:rPr>
              <w:t xml:space="preserve">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rPr>
                <w:highlight w:val="none"/>
              </w:rPr>
            </w:pPr>
          </w:p>
        </w:tc>
        <w:tc>
          <w:tcPr>
            <w:tcW w:w="9282" w:type="dxa"/>
            <w:shd w:val="clear" w:color="auto" w:fill="D6E3BC" w:themeFill="accent3" w:themeFillTint="66"/>
          </w:tcPr>
          <w:p>
            <w:pPr>
              <w:shd w:val="clear" w:color="auto"/>
              <w:rPr>
                <w:highlight w:val="none"/>
              </w:rPr>
            </w:pPr>
            <w:r>
              <w:rPr>
                <w:rFonts w:hint="eastAsia"/>
                <w:highlight w:val="none"/>
              </w:rPr>
              <w:t>组织建立、实施、保持和更新PRP，以便于防止和/或减少产品、产品加工和工作环境中的污染物（包括食品安全危害）。</w:t>
            </w:r>
          </w:p>
          <w:p>
            <w:pPr>
              <w:shd w:val="clear" w:color="auto"/>
              <w:rPr>
                <w:color w:val="000000"/>
                <w:szCs w:val="21"/>
                <w:highlight w:val="none"/>
                <w:u w:val="single"/>
              </w:rPr>
            </w:pPr>
            <w:r>
              <w:rPr>
                <w:rFonts w:hint="eastAsia"/>
                <w:highlight w:val="none"/>
              </w:rPr>
              <w:t>组织的《前提方案》时参照法规：</w:t>
            </w:r>
            <w:r>
              <w:rPr>
                <w:rFonts w:hint="eastAsia"/>
                <w:u w:val="single"/>
              </w:rPr>
              <w:t>GB 8956</w:t>
            </w:r>
            <w:r>
              <w:rPr>
                <w:rFonts w:hint="eastAsia"/>
                <w:u w:val="single"/>
                <w:lang w:val="en-US" w:eastAsia="zh-CN"/>
              </w:rPr>
              <w:t>-</w:t>
            </w:r>
            <w:r>
              <w:rPr>
                <w:rFonts w:hint="eastAsia"/>
                <w:u w:val="single"/>
              </w:rPr>
              <w:t>2016</w:t>
            </w:r>
            <w:r>
              <w:rPr>
                <w:rFonts w:hint="eastAsia"/>
                <w:u w:val="single"/>
                <w:lang w:eastAsia="zh-CN"/>
              </w:rPr>
              <w:t>《</w:t>
            </w:r>
            <w:r>
              <w:rPr>
                <w:rFonts w:hint="eastAsia"/>
                <w:u w:val="single"/>
              </w:rPr>
              <w:t>食品安全国家标准蜜饯生产卫生规范</w:t>
            </w:r>
            <w:r>
              <w:rPr>
                <w:rFonts w:hint="eastAsia"/>
                <w:u w:val="single"/>
                <w:lang w:eastAsia="zh-CN"/>
              </w:rPr>
              <w:t>》</w:t>
            </w:r>
          </w:p>
          <w:p>
            <w:pPr>
              <w:shd w:val="clear" w:color="auto"/>
              <w:rPr>
                <w:highlight w:val="none"/>
              </w:rPr>
            </w:pPr>
            <w:r>
              <w:rPr>
                <w:rFonts w:hint="eastAsia"/>
                <w:highlight w:val="none"/>
                <w:lang w:eastAsia="zh-CN"/>
              </w:rPr>
              <w:sym w:font="Wingdings 2" w:char="00A3"/>
            </w:r>
            <w:r>
              <w:rPr>
                <w:rFonts w:hint="eastAsia"/>
                <w:highlight w:val="none"/>
              </w:rPr>
              <w:t xml:space="preserve"> 行业相关规范：</w:t>
            </w:r>
          </w:p>
          <w:p>
            <w:pPr>
              <w:shd w:val="clear" w:color="auto"/>
              <w:rPr>
                <w:highlight w:val="none"/>
              </w:rPr>
            </w:pPr>
            <w:r>
              <w:rPr>
                <w:rFonts w:hint="eastAsia"/>
                <w:highlight w:val="none"/>
              </w:rPr>
              <w:t xml:space="preserve">是否获得食品安全小组的批准  ☑是   </w:t>
            </w:r>
            <w:r>
              <w:rPr>
                <w:rFonts w:hint="eastAsia"/>
                <w:highlight w:val="none"/>
              </w:rPr>
              <w:sym w:font="Wingdings" w:char="00A8"/>
            </w: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rPr>
                <w:highlight w:val="none"/>
              </w:rPr>
            </w:pPr>
          </w:p>
        </w:tc>
        <w:tc>
          <w:tcPr>
            <w:tcW w:w="9282" w:type="dxa"/>
            <w:shd w:val="clear" w:color="auto" w:fill="D6E3BC" w:themeFill="accent3" w:themeFillTint="66"/>
          </w:tcPr>
          <w:p>
            <w:pPr>
              <w:shd w:val="clear" w:color="auto" w:fill="D6E3BC" w:themeFill="accent3" w:themeFillTint="66"/>
              <w:rPr>
                <w:highlight w:val="none"/>
                <w:u w:val="single"/>
              </w:rPr>
            </w:pPr>
            <w:r>
              <w:rPr>
                <w:rFonts w:hint="eastAsia"/>
                <w:highlight w:val="none"/>
              </w:rPr>
              <w:t xml:space="preserve">《前提方案》的内容包括：☑内容全面   </w:t>
            </w:r>
            <w:r>
              <w:rPr>
                <w:rFonts w:hint="eastAsia"/>
                <w:highlight w:val="none"/>
              </w:rPr>
              <w:sym w:font="Wingdings" w:char="00A8"/>
            </w:r>
            <w:r>
              <w:rPr>
                <w:rFonts w:hint="eastAsia"/>
                <w:highlight w:val="none"/>
              </w:rPr>
              <w:t>内容不全面，说明：</w:t>
            </w:r>
            <w:r>
              <w:rPr>
                <w:rFonts w:hint="eastAsia"/>
                <w:highlight w:val="none"/>
                <w:u w:val="single"/>
              </w:rPr>
              <w:t xml:space="preserve">                    </w:t>
            </w:r>
          </w:p>
          <w:p>
            <w:pPr>
              <w:shd w:val="clear" w:color="auto" w:fill="D6E3BC" w:themeFill="accent3" w:themeFillTint="66"/>
              <w:rPr>
                <w:highlight w:val="none"/>
              </w:rPr>
            </w:pPr>
            <w:r>
              <w:rPr>
                <w:highlight w:val="none"/>
              </w:rPr>
              <w:t>a) 建筑物和相关设施的构造与布局；</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fill="D6E3BC" w:themeFill="accent3" w:themeFillTint="66"/>
              <w:rPr>
                <w:rFonts w:hint="eastAsia"/>
                <w:highlight w:val="none"/>
              </w:rPr>
            </w:pPr>
            <w:r>
              <w:rPr>
                <w:highlight w:val="none"/>
              </w:rPr>
              <w:t>b) 包括工作空间和员工设施在内的厂房布局；</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fill="D6E3BC" w:themeFill="accent3" w:themeFillTint="66"/>
              <w:rPr>
                <w:highlight w:val="none"/>
              </w:rPr>
            </w:pPr>
            <w:r>
              <w:rPr>
                <w:highlight w:val="none"/>
              </w:rPr>
              <w:t>c) 空气、水、能源和其他基础条件的供给；</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fill="D6E3BC" w:themeFill="accent3" w:themeFillTint="66"/>
              <w:rPr>
                <w:rFonts w:hint="eastAsia"/>
                <w:highlight w:val="none"/>
              </w:rPr>
            </w:pPr>
            <w:r>
              <w:rPr>
                <w:highlight w:val="none"/>
              </w:rPr>
              <w:t>d) 包括虫害控制、 废弃物和污水处理在内的支持性服务；</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fill="D6E3BC" w:themeFill="accent3" w:themeFillTint="66"/>
              <w:rPr>
                <w:highlight w:val="none"/>
              </w:rPr>
            </w:pPr>
            <w:r>
              <w:rPr>
                <w:highlight w:val="none"/>
              </w:rPr>
              <w:t>e) 设备的适宜性， 及其清洁、 保养和预防性维护的可实现性；</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fill="D6E3BC" w:themeFill="accent3" w:themeFillTint="66"/>
              <w:rPr>
                <w:rFonts w:hint="eastAsia"/>
                <w:highlight w:val="none"/>
              </w:rPr>
            </w:pPr>
            <w:r>
              <w:rPr>
                <w:highlight w:val="none"/>
              </w:rPr>
              <w:t>f) 供应商保证过程（如原料、 辅料、 化学品和包装材料） ；</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fill="D6E3BC" w:themeFill="accent3" w:themeFillTint="66"/>
              <w:rPr>
                <w:rFonts w:hint="eastAsia" w:eastAsia="宋体"/>
                <w:highlight w:val="none"/>
                <w:lang w:eastAsia="zh-CN"/>
              </w:rPr>
            </w:pPr>
            <w:r>
              <w:rPr>
                <w:highlight w:val="none"/>
              </w:rPr>
              <w:t>g) 来料的接收、储存、发运、运输和产品的搬运；</w:t>
            </w:r>
            <w:r>
              <w:rPr>
                <w:rFonts w:hint="eastAsia"/>
                <w:highlight w:val="none"/>
              </w:rPr>
              <w:t xml:space="preserve">              </w:t>
            </w:r>
            <w:r>
              <w:rPr>
                <w:rFonts w:hint="eastAsia"/>
                <w:highlight w:val="none"/>
                <w:lang w:eastAsia="zh-CN"/>
              </w:rPr>
              <w:sym w:font="Wingdings 2" w:char="0052"/>
            </w:r>
            <w:r>
              <w:rPr>
                <w:rFonts w:hint="eastAsia"/>
                <w:highlight w:val="none"/>
              </w:rPr>
              <w:t xml:space="preserve">有   </w:t>
            </w:r>
            <w:r>
              <w:rPr>
                <w:rFonts w:hint="eastAsia"/>
                <w:highlight w:val="none"/>
              </w:rPr>
              <w:sym w:font="Wingdings" w:char="00A8"/>
            </w:r>
            <w:r>
              <w:rPr>
                <w:rFonts w:hint="eastAsia"/>
                <w:highlight w:val="none"/>
              </w:rPr>
              <w:t>无</w:t>
            </w:r>
          </w:p>
          <w:p>
            <w:pPr>
              <w:shd w:val="clear" w:color="auto" w:fill="D6E3BC" w:themeFill="accent3" w:themeFillTint="66"/>
              <w:rPr>
                <w:highlight w:val="none"/>
              </w:rPr>
            </w:pPr>
            <w:r>
              <w:rPr>
                <w:highlight w:val="none"/>
              </w:rPr>
              <w:t>h) 防止交叉污染的措施；</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fill="D6E3BC" w:themeFill="accent3" w:themeFillTint="66"/>
              <w:rPr>
                <w:highlight w:val="none"/>
              </w:rPr>
            </w:pPr>
            <w:r>
              <w:rPr>
                <w:highlight w:val="none"/>
              </w:rPr>
              <w:t>i) 清洁和消毒；</w:t>
            </w:r>
            <w:r>
              <w:rPr>
                <w:rFonts w:hint="eastAsia"/>
                <w:highlight w:val="none"/>
              </w:rPr>
              <w:t xml:space="preserve">                              </w:t>
            </w:r>
            <w:r>
              <w:rPr>
                <w:rFonts w:hint="eastAsia"/>
                <w:highlight w:val="none"/>
                <w:lang w:val="en-US" w:eastAsia="zh-CN"/>
              </w:rPr>
              <w:t xml:space="preserve">            </w:t>
            </w:r>
            <w:r>
              <w:rPr>
                <w:rFonts w:hint="eastAsia"/>
                <w:highlight w:val="none"/>
              </w:rPr>
              <w:t xml:space="preserve">  </w:t>
            </w:r>
            <w:r>
              <w:rPr>
                <w:rFonts w:hint="eastAsia"/>
                <w:highlight w:val="none"/>
                <w:lang w:eastAsia="zh-CN"/>
              </w:rPr>
              <w:sym w:font="Wingdings 2" w:char="0052"/>
            </w:r>
            <w:r>
              <w:rPr>
                <w:rFonts w:hint="eastAsia"/>
                <w:highlight w:val="none"/>
              </w:rPr>
              <w:t>有</w:t>
            </w:r>
            <w:r>
              <w:rPr>
                <w:rFonts w:hint="eastAsia"/>
                <w:highlight w:val="none"/>
                <w:lang w:val="en-US" w:eastAsia="zh-CN"/>
              </w:rPr>
              <w:t xml:space="preserve"> </w:t>
            </w:r>
            <w:r>
              <w:rPr>
                <w:rFonts w:hint="eastAsia"/>
                <w:highlight w:val="none"/>
              </w:rPr>
              <w:t xml:space="preserve">   </w:t>
            </w:r>
            <w:r>
              <w:rPr>
                <w:rFonts w:hint="eastAsia"/>
                <w:highlight w:val="none"/>
              </w:rPr>
              <w:sym w:font="Wingdings" w:char="00A8"/>
            </w:r>
            <w:r>
              <w:rPr>
                <w:rFonts w:hint="eastAsia"/>
                <w:highlight w:val="none"/>
              </w:rPr>
              <w:t>无</w:t>
            </w:r>
          </w:p>
          <w:p>
            <w:pPr>
              <w:shd w:val="clear" w:color="auto" w:fill="D6E3BC" w:themeFill="accent3" w:themeFillTint="66"/>
              <w:rPr>
                <w:highlight w:val="none"/>
              </w:rPr>
            </w:pPr>
            <w:r>
              <w:rPr>
                <w:highlight w:val="none"/>
              </w:rPr>
              <w:t>j) 人员卫生；</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fill="D6E3BC" w:themeFill="accent3" w:themeFillTint="66"/>
              <w:rPr>
                <w:highlight w:val="none"/>
              </w:rPr>
            </w:pPr>
            <w:r>
              <w:rPr>
                <w:highlight w:val="none"/>
              </w:rPr>
              <w:t>k) 产品信息/消费者意识；</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fill="D6E3BC" w:themeFill="accent3" w:themeFillTint="66"/>
              <w:rPr>
                <w:highlight w:val="none"/>
              </w:rPr>
            </w:pPr>
            <w:r>
              <w:rPr>
                <w:highlight w:val="none"/>
              </w:rPr>
              <w:t>l) 其他有关方面。</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fill="D6E3BC" w:themeFill="accent3" w:themeFillTint="66"/>
              <w:rPr>
                <w:highlight w:val="none"/>
              </w:rPr>
            </w:pPr>
            <w:r>
              <w:rPr>
                <w:highlight w:val="none"/>
              </w:rPr>
              <w:t>规定PRP的选择、建立、适用的监测和验证的文件化信息。</w:t>
            </w:r>
            <w:r>
              <w:rPr>
                <w:rFonts w:hint="eastAsia"/>
                <w:highlight w:val="none"/>
              </w:rPr>
              <w:t xml:space="preserve">       ☑是   </w:t>
            </w:r>
            <w:r>
              <w:rPr>
                <w:rFonts w:hint="eastAsia"/>
                <w:highlight w:val="none"/>
              </w:rPr>
              <w:sym w:font="Wingdings" w:char="00A8"/>
            </w: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rPr>
                <w:highlight w:val="none"/>
              </w:rPr>
            </w:pPr>
          </w:p>
        </w:tc>
        <w:tc>
          <w:tcPr>
            <w:tcW w:w="9282" w:type="dxa"/>
            <w:shd w:val="clear" w:color="auto" w:fill="D6E3BC" w:themeFill="accent3" w:themeFillTint="66"/>
          </w:tcPr>
          <w:p>
            <w:pPr>
              <w:shd w:val="clear" w:color="auto" w:fill="D6E3BC" w:themeFill="accent3" w:themeFillTint="66"/>
              <w:rPr>
                <w:highlight w:val="none"/>
              </w:rPr>
            </w:pPr>
            <w:r>
              <w:rPr>
                <w:rFonts w:hint="eastAsia"/>
                <w:highlight w:val="none"/>
              </w:rPr>
              <w:t>组织</w:t>
            </w:r>
            <w:r>
              <w:rPr>
                <w:highlight w:val="none"/>
              </w:rPr>
              <w:t>确保确定适用的法律、法规和顾客要求</w:t>
            </w:r>
            <w:r>
              <w:rPr>
                <w:rFonts w:hint="eastAsia"/>
                <w:highlight w:val="none"/>
              </w:rPr>
              <w:t>，</w:t>
            </w:r>
            <w:r>
              <w:rPr>
                <w:highlight w:val="none"/>
              </w:rPr>
              <w:t>建立和实施可追溯性系统</w:t>
            </w:r>
            <w:r>
              <w:rPr>
                <w:rFonts w:hint="eastAsia"/>
                <w:highlight w:val="none"/>
              </w:rPr>
              <w:t>包括：</w:t>
            </w:r>
          </w:p>
          <w:p>
            <w:pPr>
              <w:shd w:val="clear" w:color="auto" w:fill="D6E3BC" w:themeFill="accent3" w:themeFillTint="66"/>
              <w:rPr>
                <w:highlight w:val="none"/>
              </w:rPr>
            </w:pPr>
            <w:r>
              <w:rPr>
                <w:highlight w:val="none"/>
              </w:rPr>
              <w:t>a）唯一地识别来自供应商的来料</w:t>
            </w:r>
            <w:r>
              <w:rPr>
                <w:rFonts w:hint="eastAsia"/>
                <w:highlight w:val="none"/>
              </w:rPr>
              <w:t xml:space="preserve">                     ☑是   </w:t>
            </w:r>
            <w:r>
              <w:rPr>
                <w:rFonts w:hint="eastAsia"/>
                <w:highlight w:val="none"/>
              </w:rPr>
              <w:sym w:font="Wingdings" w:char="00A8"/>
            </w:r>
            <w:r>
              <w:rPr>
                <w:rFonts w:hint="eastAsia"/>
                <w:highlight w:val="none"/>
              </w:rPr>
              <w:t>否</w:t>
            </w:r>
          </w:p>
          <w:p>
            <w:pPr>
              <w:shd w:val="clear" w:color="auto" w:fill="D6E3BC" w:themeFill="accent3" w:themeFillTint="66"/>
              <w:rPr>
                <w:highlight w:val="none"/>
              </w:rPr>
            </w:pPr>
            <w:r>
              <w:rPr>
                <w:highlight w:val="none"/>
              </w:rPr>
              <w:t>b）接收物料、配料、中间产品批量与最终产品的关系</w:t>
            </w:r>
            <w:r>
              <w:rPr>
                <w:rFonts w:hint="eastAsia"/>
                <w:highlight w:val="none"/>
              </w:rPr>
              <w:t xml:space="preserve">   ☑是   </w:t>
            </w:r>
            <w:r>
              <w:rPr>
                <w:rFonts w:hint="eastAsia"/>
                <w:highlight w:val="none"/>
              </w:rPr>
              <w:sym w:font="Wingdings" w:char="00A8"/>
            </w:r>
            <w:r>
              <w:rPr>
                <w:rFonts w:hint="eastAsia"/>
                <w:highlight w:val="none"/>
              </w:rPr>
              <w:t>否</w:t>
            </w:r>
          </w:p>
          <w:p>
            <w:pPr>
              <w:shd w:val="clear" w:color="auto" w:fill="D6E3BC" w:themeFill="accent3" w:themeFillTint="66"/>
              <w:rPr>
                <w:rFonts w:hint="eastAsia" w:eastAsia="宋体"/>
                <w:highlight w:val="none"/>
                <w:lang w:eastAsia="zh-CN"/>
              </w:rPr>
            </w:pPr>
            <w:r>
              <w:rPr>
                <w:highlight w:val="none"/>
              </w:rPr>
              <w:t>c）材料/产品的返工</w:t>
            </w:r>
            <w:r>
              <w:rPr>
                <w:rFonts w:hint="eastAsia"/>
                <w:highlight w:val="none"/>
              </w:rPr>
              <w:t xml:space="preserve">                                </w:t>
            </w:r>
            <w:r>
              <w:rPr>
                <w:rFonts w:hint="eastAsia"/>
                <w:highlight w:val="none"/>
                <w:lang w:eastAsia="zh-CN"/>
              </w:rPr>
              <w:t>□</w:t>
            </w:r>
            <w:r>
              <w:rPr>
                <w:rFonts w:hint="eastAsia"/>
                <w:highlight w:val="none"/>
              </w:rPr>
              <w:t xml:space="preserve">是   </w:t>
            </w:r>
            <w:r>
              <w:rPr>
                <w:rFonts w:hint="eastAsia"/>
                <w:highlight w:val="none"/>
              </w:rPr>
              <w:sym w:font="Wingdings" w:char="00A8"/>
            </w:r>
            <w:r>
              <w:rPr>
                <w:rFonts w:hint="eastAsia"/>
                <w:highlight w:val="none"/>
              </w:rPr>
              <w:t>否</w:t>
            </w:r>
            <w:r>
              <w:rPr>
                <w:rFonts w:hint="eastAsia"/>
                <w:highlight w:val="none"/>
                <w:lang w:eastAsia="zh-CN"/>
              </w:rPr>
              <w:t>（</w:t>
            </w:r>
            <w:r>
              <w:rPr>
                <w:rFonts w:hint="eastAsia"/>
                <w:highlight w:val="none"/>
                <w:lang w:val="en-US" w:eastAsia="zh-CN"/>
              </w:rPr>
              <w:t>不适用</w:t>
            </w:r>
            <w:r>
              <w:rPr>
                <w:rFonts w:hint="eastAsia"/>
                <w:highlight w:val="none"/>
                <w:lang w:eastAsia="zh-CN"/>
              </w:rPr>
              <w:t>）</w:t>
            </w:r>
          </w:p>
          <w:p>
            <w:pPr>
              <w:shd w:val="clear" w:color="auto" w:fill="D6E3BC" w:themeFill="accent3" w:themeFillTint="66"/>
              <w:rPr>
                <w:highlight w:val="none"/>
              </w:rPr>
            </w:pPr>
            <w:r>
              <w:rPr>
                <w:rFonts w:hint="eastAsia"/>
                <w:highlight w:val="none"/>
              </w:rPr>
              <w:t>d）</w:t>
            </w:r>
            <w:r>
              <w:rPr>
                <w:highlight w:val="none"/>
              </w:rPr>
              <w:t>最终产品分销路线的第一阶段。</w:t>
            </w:r>
            <w:r>
              <w:rPr>
                <w:rFonts w:hint="eastAsia"/>
                <w:highlight w:val="none"/>
              </w:rPr>
              <w:t xml:space="preserve">                   ☑是   </w:t>
            </w:r>
            <w:r>
              <w:rPr>
                <w:rFonts w:hint="eastAsia"/>
                <w:highlight w:val="none"/>
              </w:rPr>
              <w:sym w:font="Wingdings" w:char="00A8"/>
            </w:r>
            <w:r>
              <w:rPr>
                <w:rFonts w:hint="eastAsia"/>
                <w:highlight w:val="none"/>
              </w:rPr>
              <w:t>否</w:t>
            </w:r>
          </w:p>
          <w:p>
            <w:pPr>
              <w:shd w:val="clear" w:color="auto" w:fill="D6E3BC" w:themeFill="accent3" w:themeFillTint="66"/>
              <w:rPr>
                <w:rFonts w:hint="default" w:eastAsia="宋体"/>
                <w:highlight w:val="none"/>
                <w:lang w:val="en-US" w:eastAsia="zh-CN"/>
              </w:rPr>
            </w:pPr>
            <w:r>
              <w:rPr>
                <w:rFonts w:hint="eastAsia"/>
                <w:highlight w:val="none"/>
              </w:rPr>
              <w:t>组织的产品保质期为</w:t>
            </w:r>
            <w:r>
              <w:rPr>
                <w:rFonts w:hint="eastAsia"/>
                <w:strike w:val="0"/>
                <w:dstrike w:val="0"/>
                <w:highlight w:val="none"/>
                <w:lang w:val="en-US" w:eastAsia="zh-CN"/>
              </w:rPr>
              <w:t xml:space="preserve"> </w:t>
            </w:r>
            <w:r>
              <w:rPr>
                <w:rFonts w:hint="eastAsia"/>
                <w:strike w:val="0"/>
                <w:dstrike w:val="0"/>
                <w:highlight w:val="none"/>
                <w:u w:val="single"/>
                <w:lang w:val="en-US" w:eastAsia="zh-CN"/>
              </w:rPr>
              <w:t xml:space="preserve">12 </w:t>
            </w:r>
            <w:r>
              <w:rPr>
                <w:rFonts w:hint="eastAsia"/>
                <w:strike w:val="0"/>
                <w:dstrike w:val="0"/>
                <w:highlight w:val="none"/>
              </w:rPr>
              <w:t>个月</w:t>
            </w:r>
            <w:r>
              <w:rPr>
                <w:rFonts w:hint="eastAsia"/>
                <w:highlight w:val="none"/>
              </w:rPr>
              <w:t>；</w:t>
            </w:r>
          </w:p>
          <w:p>
            <w:pPr>
              <w:shd w:val="clear" w:color="auto" w:fill="D6E3BC" w:themeFill="accent3" w:themeFillTint="66"/>
              <w:rPr>
                <w:highlight w:val="none"/>
              </w:rPr>
            </w:pPr>
          </w:p>
          <w:p>
            <w:pPr>
              <w:shd w:val="clear" w:color="auto" w:fill="D6E3BC" w:themeFill="accent3" w:themeFillTint="66"/>
              <w:rPr>
                <w:rFonts w:hint="eastAsia" w:eastAsia="宋体"/>
                <w:highlight w:val="none"/>
                <w:lang w:val="en-US" w:eastAsia="zh-CN"/>
              </w:rPr>
            </w:pPr>
            <w:r>
              <w:rPr>
                <w:highlight w:val="none"/>
              </w:rPr>
              <w:t>可追溯性系统证据的文件化信息</w:t>
            </w:r>
            <w:r>
              <w:rPr>
                <w:rFonts w:hint="eastAsia"/>
                <w:highlight w:val="none"/>
              </w:rPr>
              <w:t>，</w:t>
            </w:r>
            <w:r>
              <w:rPr>
                <w:highlight w:val="none"/>
              </w:rPr>
              <w:t>保留期</w:t>
            </w:r>
            <w:r>
              <w:rPr>
                <w:rFonts w:hint="eastAsia"/>
                <w:highlight w:val="none"/>
              </w:rPr>
              <w:t xml:space="preserve">限为 </w:t>
            </w:r>
            <w:r>
              <w:rPr>
                <w:rFonts w:hint="eastAsia"/>
                <w:highlight w:val="none"/>
                <w:u w:val="single"/>
                <w:lang w:val="en-US" w:eastAsia="zh-CN"/>
              </w:rPr>
              <w:t>24</w:t>
            </w:r>
            <w:r>
              <w:rPr>
                <w:rFonts w:hint="eastAsia"/>
                <w:highlight w:val="none"/>
              </w:rPr>
              <w:t>个月</w:t>
            </w:r>
            <w:r>
              <w:rPr>
                <w:highlight w:val="none"/>
              </w:rPr>
              <w:t>。</w:t>
            </w:r>
            <w:r>
              <w:rPr>
                <w:rFonts w:hint="eastAsia"/>
                <w:highlight w:val="none"/>
                <w:lang w:val="en-US" w:eastAsia="zh-CN"/>
              </w:rPr>
              <w:t xml:space="preserve"> </w:t>
            </w:r>
          </w:p>
          <w:p>
            <w:pPr>
              <w:shd w:val="clear" w:color="auto" w:fill="D6E3BC" w:themeFill="accent3" w:themeFillTint="66"/>
              <w:rPr>
                <w:highlight w:val="none"/>
              </w:rPr>
            </w:pPr>
          </w:p>
          <w:p>
            <w:pPr>
              <w:shd w:val="clear" w:color="auto" w:fill="D6E3BC" w:themeFill="accent3" w:themeFillTint="66"/>
              <w:rPr>
                <w:rFonts w:hint="eastAsia"/>
                <w:color w:val="0000FF"/>
                <w:highlight w:val="none"/>
                <w:lang w:val="en-US" w:eastAsia="zh-CN"/>
              </w:rPr>
            </w:pPr>
            <w:r>
              <w:rPr>
                <w:highlight w:val="none"/>
              </w:rPr>
              <w:t>组织</w:t>
            </w:r>
            <w:r>
              <w:rPr>
                <w:rFonts w:hint="eastAsia"/>
                <w:highlight w:val="none"/>
              </w:rPr>
              <w:t>于</w:t>
            </w:r>
            <w:r>
              <w:rPr>
                <w:rFonts w:hint="eastAsia"/>
                <w:highlight w:val="none"/>
                <w:u w:val="single"/>
              </w:rPr>
              <w:t xml:space="preserve"> </w:t>
            </w:r>
            <w:r>
              <w:rPr>
                <w:rFonts w:hint="eastAsia"/>
                <w:highlight w:val="none"/>
                <w:u w:val="single"/>
                <w:lang w:val="en-US" w:eastAsia="zh-CN"/>
              </w:rPr>
              <w:t>2022</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5</w:t>
            </w:r>
            <w:r>
              <w:rPr>
                <w:rFonts w:hint="eastAsia"/>
                <w:highlight w:val="none"/>
                <w:u w:val="single"/>
              </w:rPr>
              <w:t xml:space="preserve"> </w:t>
            </w:r>
            <w:r>
              <w:rPr>
                <w:rFonts w:hint="eastAsia"/>
                <w:highlight w:val="none"/>
              </w:rPr>
              <w:t>月</w:t>
            </w:r>
            <w:r>
              <w:rPr>
                <w:rFonts w:hint="eastAsia"/>
                <w:highlight w:val="none"/>
                <w:u w:val="single"/>
                <w:lang w:val="en-US" w:eastAsia="zh-CN"/>
              </w:rPr>
              <w:t>18</w:t>
            </w:r>
            <w:r>
              <w:rPr>
                <w:rFonts w:hint="eastAsia"/>
                <w:highlight w:val="none"/>
              </w:rPr>
              <w:t>日，进行了</w:t>
            </w:r>
            <w:r>
              <w:rPr>
                <w:highlight w:val="none"/>
              </w:rPr>
              <w:t>可追溯性体系的有效性</w:t>
            </w:r>
            <w:r>
              <w:rPr>
                <w:rFonts w:hint="eastAsia"/>
                <w:highlight w:val="none"/>
              </w:rPr>
              <w:t>的演练</w:t>
            </w:r>
            <w:r>
              <w:rPr>
                <w:highlight w:val="none"/>
              </w:rPr>
              <w:t>。</w:t>
            </w:r>
            <w:r>
              <w:rPr>
                <w:rFonts w:hint="eastAsia"/>
                <w:highlight w:val="none"/>
                <w:lang w:eastAsia="zh-CN"/>
              </w:rPr>
              <w:t>——</w:t>
            </w:r>
            <w:r>
              <w:rPr>
                <w:rFonts w:hint="eastAsia"/>
                <w:color w:val="0000FF"/>
                <w:highlight w:val="none"/>
                <w:lang w:val="en-US" w:eastAsia="zh-CN"/>
              </w:rPr>
              <w:t>此批次追溯产品的原始记录未附在追溯材料中，已沟通。</w:t>
            </w:r>
          </w:p>
          <w:p>
            <w:pPr>
              <w:pStyle w:val="2"/>
              <w:shd w:val="clear" w:fill="D6E3BC" w:themeFill="accent3" w:themeFillTint="66"/>
              <w:rPr>
                <w:rFonts w:hint="default"/>
                <w:highlight w:val="none"/>
                <w:lang w:val="en-US" w:eastAsia="zh-CN"/>
              </w:rPr>
            </w:pPr>
          </w:p>
          <w:p>
            <w:pPr>
              <w:shd w:val="clear" w:color="auto" w:fill="D6E3BC" w:themeFill="accent3" w:themeFillTint="66"/>
              <w:jc w:val="left"/>
              <w:rPr>
                <w:highlight w:val="none"/>
              </w:rPr>
            </w:pPr>
            <w:r>
              <w:rPr>
                <w:rFonts w:hint="eastAsia"/>
                <w:highlight w:val="none"/>
              </w:rPr>
              <w:t>组织在生产和服务提供的整个过程中对产品和监视和测量状态进行标识和追溯。</w:t>
            </w:r>
          </w:p>
          <w:p>
            <w:pPr>
              <w:shd w:val="clear" w:color="auto" w:fill="D6E3BC" w:themeFill="accent3" w:themeFillTint="66"/>
              <w:jc w:val="left"/>
              <w:rPr>
                <w:rFonts w:hint="eastAsia"/>
                <w:highlight w:val="none"/>
                <w:lang w:val="en-US" w:eastAsia="zh-CN"/>
              </w:rPr>
            </w:pPr>
            <w:r>
              <w:rPr>
                <w:rFonts w:hint="eastAsia"/>
                <w:highlight w:val="none"/>
              </w:rPr>
              <w:t xml:space="preserve">采用的标识方式：☑标签 </w:t>
            </w:r>
            <w:r>
              <w:rPr>
                <w:rFonts w:hint="eastAsia"/>
                <w:highlight w:val="none"/>
                <w:lang w:eastAsia="zh-CN"/>
              </w:rPr>
              <w:sym w:font="Wingdings 2" w:char="0052"/>
            </w:r>
            <w:r>
              <w:rPr>
                <w:rFonts w:hint="eastAsia"/>
                <w:highlight w:val="none"/>
              </w:rPr>
              <w:t xml:space="preserve">标牌 </w:t>
            </w:r>
            <w:r>
              <w:rPr>
                <w:rFonts w:hint="eastAsia"/>
                <w:highlight w:val="none"/>
              </w:rPr>
              <w:sym w:font="Wingdings" w:char="00FE"/>
            </w:r>
            <w:r>
              <w:rPr>
                <w:rFonts w:hint="eastAsia"/>
                <w:highlight w:val="none"/>
              </w:rPr>
              <w:t xml:space="preserve">区域 </w:t>
            </w:r>
            <w:r>
              <w:rPr>
                <w:rFonts w:hint="eastAsia"/>
                <w:highlight w:val="none"/>
              </w:rPr>
              <w:sym w:font="Wingdings" w:char="00FE"/>
            </w:r>
            <w:r>
              <w:rPr>
                <w:rFonts w:hint="eastAsia"/>
                <w:highlight w:val="none"/>
                <w:lang w:val="en-US" w:eastAsia="zh-CN"/>
              </w:rPr>
              <w:t xml:space="preserve">周转筐颜色 </w:t>
            </w:r>
            <w:r>
              <w:rPr>
                <w:rFonts w:hint="eastAsia"/>
                <w:highlight w:val="none"/>
              </w:rPr>
              <w:sym w:font="Wingdings" w:char="00A8"/>
            </w:r>
            <w:r>
              <w:rPr>
                <w:rFonts w:hint="eastAsia"/>
                <w:highlight w:val="none"/>
              </w:rPr>
              <w:t xml:space="preserve">容器编号 </w:t>
            </w:r>
            <w:r>
              <w:rPr>
                <w:rFonts w:hint="eastAsia"/>
                <w:highlight w:val="none"/>
              </w:rPr>
              <w:sym w:font="Wingdings" w:char="00A8"/>
            </w:r>
            <w:r>
              <w:rPr>
                <w:rFonts w:hint="eastAsia"/>
                <w:highlight w:val="none"/>
              </w:rPr>
              <w:t xml:space="preserve">人员编号 </w:t>
            </w:r>
            <w:r>
              <w:rPr>
                <w:rFonts w:hint="eastAsia"/>
                <w:highlight w:val="none"/>
              </w:rPr>
              <w:sym w:font="Wingdings" w:char="00FE"/>
            </w:r>
            <w:r>
              <w:rPr>
                <w:rFonts w:hint="eastAsia"/>
                <w:highlight w:val="none"/>
              </w:rPr>
              <w:t>其他</w:t>
            </w:r>
            <w:r>
              <w:rPr>
                <w:rFonts w:hint="eastAsia"/>
                <w:highlight w:val="none"/>
                <w:lang w:eastAsia="zh-CN"/>
              </w:rPr>
              <w:t>—</w:t>
            </w:r>
            <w:r>
              <w:rPr>
                <w:rFonts w:hint="eastAsia"/>
                <w:highlight w:val="none"/>
                <w:lang w:val="en-US" w:eastAsia="zh-CN"/>
              </w:rPr>
              <w:t>标识卡</w:t>
            </w:r>
          </w:p>
          <w:p>
            <w:pPr>
              <w:shd w:val="clear" w:color="auto" w:fill="D6E3BC" w:themeFill="accent3" w:themeFillTint="66"/>
              <w:jc w:val="left"/>
              <w:rPr>
                <w:highlight w:val="none"/>
              </w:rPr>
            </w:pPr>
            <w:r>
              <w:rPr>
                <w:rFonts w:hint="eastAsia"/>
                <w:highlight w:val="none"/>
              </w:rPr>
              <w:t xml:space="preserve">可追溯性实现：☑符合要求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p>
            <w:pPr>
              <w:shd w:val="clear" w:color="auto"/>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rPr>
                <w:highlight w:val="none"/>
              </w:rPr>
            </w:pPr>
          </w:p>
        </w:tc>
        <w:tc>
          <w:tcPr>
            <w:tcW w:w="9282" w:type="dxa"/>
            <w:shd w:val="clear" w:color="auto" w:fill="D6E3BC" w:themeFill="accent3" w:themeFillTint="66"/>
          </w:tcPr>
          <w:p>
            <w:pPr>
              <w:shd w:val="clear"/>
              <w:rPr>
                <w:b/>
                <w:bCs/>
                <w:highlight w:val="none"/>
              </w:rPr>
            </w:pPr>
            <w:r>
              <w:rPr>
                <w:rFonts w:hint="eastAsia"/>
                <w:b/>
                <w:bCs/>
                <w:highlight w:val="none"/>
              </w:rPr>
              <w:t>应急准备和响应</w:t>
            </w:r>
          </w:p>
          <w:p>
            <w:pPr>
              <w:shd w:val="clear"/>
              <w:rPr>
                <w:highlight w:val="none"/>
              </w:rPr>
            </w:pPr>
            <w:r>
              <w:rPr>
                <w:rFonts w:hint="eastAsia"/>
                <w:highlight w:val="none"/>
              </w:rPr>
              <w:t xml:space="preserve">组织识别了食品安全的潜在紧急情况和事故及应急准备并做出响应所需的过程。对实际发生的紧急情况做出响应；以预防或减轻它所带来的食品安全危害； </w:t>
            </w:r>
          </w:p>
          <w:p>
            <w:pPr>
              <w:shd w:val="clear"/>
              <w:rPr>
                <w:rFonts w:hint="eastAsia"/>
                <w:highlight w:val="none"/>
              </w:rPr>
            </w:pPr>
            <w:r>
              <w:rPr>
                <w:rFonts w:hint="eastAsia"/>
                <w:highlight w:val="none"/>
              </w:rPr>
              <w:t>制订的《应急预案》包括：</w:t>
            </w:r>
          </w:p>
          <w:p>
            <w:pPr>
              <w:shd w:val="clear"/>
              <w:rPr>
                <w:highlight w:val="none"/>
              </w:rPr>
            </w:pPr>
            <w:r>
              <w:rPr>
                <w:rFonts w:hint="eastAsia"/>
                <w:highlight w:val="none"/>
              </w:rPr>
              <w:sym w:font="Wingdings" w:char="00FE"/>
            </w:r>
            <w:r>
              <w:rPr>
                <w:rFonts w:hint="eastAsia"/>
                <w:highlight w:val="none"/>
              </w:rPr>
              <w:t>自然灾害</w:t>
            </w:r>
            <w:r>
              <w:rPr>
                <w:rFonts w:hint="eastAsia"/>
                <w:highlight w:val="none"/>
                <w:lang w:val="en-US" w:eastAsia="zh-CN"/>
              </w:rPr>
              <w:t xml:space="preserve"> </w:t>
            </w:r>
            <w:r>
              <w:rPr>
                <w:highlight w:val="none"/>
              </w:rPr>
              <w:t xml:space="preserve">  </w:t>
            </w:r>
            <w:r>
              <w:rPr>
                <w:rFonts w:hint="eastAsia"/>
                <w:highlight w:val="none"/>
              </w:rPr>
              <w:sym w:font="Wingdings" w:char="00FE"/>
            </w:r>
            <w:r>
              <w:rPr>
                <w:rFonts w:hint="eastAsia"/>
                <w:highlight w:val="none"/>
              </w:rPr>
              <w:t xml:space="preserve">环境事故 </w:t>
            </w:r>
            <w:r>
              <w:rPr>
                <w:rFonts w:hint="eastAsia"/>
                <w:highlight w:val="none"/>
              </w:rPr>
              <w:sym w:font="Wingdings" w:char="00FE"/>
            </w:r>
            <w:r>
              <w:rPr>
                <w:rFonts w:hint="eastAsia"/>
                <w:highlight w:val="none"/>
              </w:rPr>
              <w:t xml:space="preserve">生物恐怖主义 </w:t>
            </w:r>
            <w:r>
              <w:rPr>
                <w:highlight w:val="none"/>
              </w:rPr>
              <w:t xml:space="preserve">  </w:t>
            </w:r>
            <w:r>
              <w:rPr>
                <w:rFonts w:hint="eastAsia"/>
                <w:highlight w:val="none"/>
              </w:rPr>
              <w:sym w:font="Wingdings" w:char="00FE"/>
            </w:r>
            <w:r>
              <w:rPr>
                <w:rFonts w:hint="eastAsia"/>
                <w:highlight w:val="none"/>
              </w:rPr>
              <w:t xml:space="preserve">工作场所事故 </w:t>
            </w:r>
            <w:r>
              <w:rPr>
                <w:highlight w:val="none"/>
              </w:rPr>
              <w:t xml:space="preserve"> </w:t>
            </w:r>
            <w:r>
              <w:rPr>
                <w:rFonts w:hint="eastAsia"/>
                <w:highlight w:val="none"/>
              </w:rPr>
              <w:sym w:font="Wingdings" w:char="00FE"/>
            </w:r>
            <w:r>
              <w:rPr>
                <w:rFonts w:hint="eastAsia"/>
                <w:highlight w:val="none"/>
              </w:rPr>
              <w:t xml:space="preserve">食品中毒 </w:t>
            </w:r>
            <w:r>
              <w:rPr>
                <w:highlight w:val="none"/>
              </w:rPr>
              <w:t xml:space="preserve"> </w:t>
            </w:r>
            <w:r>
              <w:rPr>
                <w:rFonts w:hint="eastAsia"/>
                <w:highlight w:val="none"/>
              </w:rPr>
              <w:sym w:font="Wingdings" w:char="00FE"/>
            </w:r>
            <w:r>
              <w:rPr>
                <w:rFonts w:hint="eastAsia"/>
                <w:highlight w:val="none"/>
              </w:rPr>
              <w:t xml:space="preserve">突发公共卫生事件 </w:t>
            </w:r>
            <w:r>
              <w:rPr>
                <w:highlight w:val="none"/>
              </w:rPr>
              <w:t xml:space="preserve">  </w:t>
            </w:r>
            <w:r>
              <w:rPr>
                <w:rFonts w:hint="eastAsia"/>
                <w:highlight w:val="none"/>
              </w:rPr>
              <w:sym w:font="Wingdings" w:char="00FE"/>
            </w:r>
            <w:r>
              <w:rPr>
                <w:rFonts w:hint="eastAsia"/>
                <w:highlight w:val="none"/>
              </w:rPr>
              <w:t xml:space="preserve">水的中断 </w:t>
            </w:r>
            <w:r>
              <w:rPr>
                <w:highlight w:val="none"/>
              </w:rPr>
              <w:t xml:space="preserve">    </w:t>
            </w:r>
            <w:r>
              <w:rPr>
                <w:rFonts w:hint="eastAsia"/>
                <w:highlight w:val="none"/>
              </w:rPr>
              <w:sym w:font="Wingdings" w:char="00FE"/>
            </w:r>
            <w:r>
              <w:rPr>
                <w:rFonts w:hint="eastAsia"/>
                <w:highlight w:val="none"/>
              </w:rPr>
              <w:t xml:space="preserve">电的中断 </w:t>
            </w:r>
            <w:r>
              <w:rPr>
                <w:rFonts w:hint="eastAsia"/>
                <w:highlight w:val="none"/>
                <w:lang w:val="en-US" w:eastAsia="zh-CN"/>
              </w:rPr>
              <w:t xml:space="preserve"> </w:t>
            </w:r>
            <w:r>
              <w:rPr>
                <w:highlight w:val="none"/>
              </w:rPr>
              <w:t xml:space="preserve"> </w:t>
            </w:r>
            <w:r>
              <w:rPr>
                <w:rFonts w:hint="eastAsia"/>
                <w:highlight w:val="none"/>
              </w:rPr>
              <w:sym w:font="Wingdings" w:char="00FE"/>
            </w:r>
            <w:r>
              <w:rPr>
                <w:rFonts w:hint="eastAsia"/>
                <w:highlight w:val="none"/>
              </w:rPr>
              <w:t>制冷供应服务中断</w:t>
            </w:r>
            <w:r>
              <w:rPr>
                <w:highlight w:val="none"/>
              </w:rPr>
              <w:t xml:space="preserve">   </w:t>
            </w:r>
            <w:r>
              <w:rPr>
                <w:rFonts w:hint="eastAsia"/>
                <w:highlight w:val="none"/>
              </w:rPr>
              <w:sym w:font="Wingdings" w:char="00FE"/>
            </w:r>
            <w:r>
              <w:rPr>
                <w:rFonts w:hint="eastAsia"/>
                <w:highlight w:val="none"/>
              </w:rPr>
              <w:t>其他—食品供应链的突变</w:t>
            </w:r>
          </w:p>
          <w:p>
            <w:pPr>
              <w:shd w:val="clear"/>
              <w:rPr>
                <w:highlight w:val="none"/>
              </w:rPr>
            </w:pPr>
            <w:r>
              <w:rPr>
                <w:rFonts w:hint="eastAsia"/>
                <w:highlight w:val="none"/>
              </w:rPr>
              <w:t>审核周期内发生过紧急情况：</w:t>
            </w:r>
            <w:r>
              <w:rPr>
                <w:rFonts w:hint="eastAsia"/>
                <w:highlight w:val="none"/>
              </w:rPr>
              <w:sym w:font="Wingdings" w:char="00FE"/>
            </w:r>
            <w:r>
              <w:rPr>
                <w:rFonts w:hint="eastAsia"/>
                <w:highlight w:val="none"/>
              </w:rPr>
              <w:t xml:space="preserve">未发生 </w:t>
            </w:r>
            <w:r>
              <w:rPr>
                <w:rFonts w:hint="eastAsia"/>
                <w:highlight w:val="none"/>
              </w:rPr>
              <w:sym w:font="Wingdings" w:char="00A8"/>
            </w:r>
            <w:r>
              <w:rPr>
                <w:rFonts w:hint="eastAsia"/>
                <w:highlight w:val="none"/>
              </w:rPr>
              <w:t>已发生：</w:t>
            </w:r>
            <w:r>
              <w:rPr>
                <w:rFonts w:hint="eastAsia"/>
                <w:highlight w:val="none"/>
                <w:u w:val="single"/>
              </w:rPr>
              <w:t xml:space="preserve">                                </w:t>
            </w:r>
            <w:r>
              <w:rPr>
                <w:rFonts w:hint="eastAsia"/>
                <w:highlight w:val="none"/>
              </w:rPr>
              <w:t>。</w:t>
            </w:r>
          </w:p>
          <w:p>
            <w:pPr>
              <w:shd w:val="clear"/>
              <w:rPr>
                <w:highlight w:val="none"/>
              </w:rPr>
            </w:pPr>
          </w:p>
          <w:p>
            <w:pPr>
              <w:shd w:val="clear"/>
              <w:rPr>
                <w:highlight w:val="none"/>
              </w:rPr>
            </w:pPr>
            <w:r>
              <w:rPr>
                <w:rFonts w:hint="eastAsia"/>
                <w:highlight w:val="none"/>
              </w:rPr>
              <w:t>于</w:t>
            </w:r>
            <w:r>
              <w:rPr>
                <w:rFonts w:hint="eastAsia"/>
                <w:highlight w:val="none"/>
                <w:u w:val="single"/>
              </w:rPr>
              <w:t xml:space="preserve">  </w:t>
            </w:r>
            <w:r>
              <w:rPr>
                <w:rFonts w:hint="eastAsia"/>
                <w:highlight w:val="none"/>
                <w:u w:val="single"/>
                <w:lang w:val="en-US" w:eastAsia="zh-CN"/>
              </w:rPr>
              <w:t>2022</w:t>
            </w:r>
            <w:r>
              <w:rPr>
                <w:rFonts w:hint="eastAsia"/>
                <w:highlight w:val="none"/>
              </w:rPr>
              <w:t>年</w:t>
            </w:r>
            <w:r>
              <w:rPr>
                <w:rFonts w:hint="eastAsia"/>
                <w:highlight w:val="none"/>
                <w:u w:val="single"/>
              </w:rPr>
              <w:t xml:space="preserve"> </w:t>
            </w:r>
            <w:r>
              <w:rPr>
                <w:rFonts w:hint="eastAsia"/>
                <w:highlight w:val="none"/>
                <w:u w:val="single"/>
                <w:lang w:val="en-US" w:eastAsia="zh-CN"/>
              </w:rPr>
              <w:t>3</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18</w:t>
            </w:r>
            <w:r>
              <w:rPr>
                <w:rFonts w:hint="eastAsia"/>
                <w:highlight w:val="none"/>
              </w:rPr>
              <w:t>日进行了</w:t>
            </w:r>
            <w:r>
              <w:rPr>
                <w:rFonts w:hint="eastAsia"/>
                <w:highlight w:val="none"/>
                <w:u w:val="single"/>
              </w:rPr>
              <w:t xml:space="preserve">  </w:t>
            </w:r>
            <w:r>
              <w:rPr>
                <w:rFonts w:hint="eastAsia"/>
                <w:highlight w:val="none"/>
                <w:u w:val="single"/>
                <w:lang w:val="en-US" w:eastAsia="zh-CN"/>
              </w:rPr>
              <w:t>火灾</w:t>
            </w:r>
            <w:r>
              <w:rPr>
                <w:rFonts w:hint="eastAsia"/>
                <w:highlight w:val="none"/>
                <w:u w:val="single"/>
              </w:rPr>
              <w:t>应急演练</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 xml:space="preserve">的演练；并总结了预案的可行性和有效性。 </w:t>
            </w:r>
          </w:p>
          <w:p>
            <w:pPr>
              <w:shd w:val="clear"/>
              <w:rPr>
                <w:rFonts w:hint="eastAsia"/>
                <w:highlight w:val="none"/>
              </w:rPr>
            </w:pPr>
          </w:p>
          <w:p>
            <w:pPr>
              <w:shd w:val="clear"/>
              <w:rPr>
                <w:highlight w:val="none"/>
              </w:rPr>
            </w:pPr>
            <w:r>
              <w:rPr>
                <w:rFonts w:hint="eastAsia"/>
                <w:highlight w:val="none"/>
              </w:rPr>
              <w:t xml:space="preserve">定期评审并修订过程和策划的响应措施，特别是发生紧急情况后或进行试验后； </w:t>
            </w:r>
          </w:p>
          <w:p>
            <w:pPr>
              <w:shd w:val="clear"/>
              <w:rPr>
                <w:highlight w:val="none"/>
              </w:rPr>
            </w:pPr>
          </w:p>
          <w:p>
            <w:pPr>
              <w:shd w:val="clear" w:color="auto"/>
              <w:rPr>
                <w:highlight w:val="none"/>
              </w:rPr>
            </w:pPr>
            <w:r>
              <w:rPr>
                <w:rFonts w:hint="eastAsia"/>
                <w:highlight w:val="none"/>
              </w:rPr>
              <w:t>应急准备和响应控制：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pPr>
            <w:r>
              <w:t>为进行危害分析，食品安全小组收集、保持和更新初步形成文件的信息。包括：</w:t>
            </w:r>
          </w:p>
          <w:p>
            <w:pPr>
              <w:shd w:val="clear" w:color="auto"/>
            </w:pPr>
            <w:r>
              <w:rPr>
                <w:rFonts w:hint="eastAsia"/>
              </w:rPr>
              <w:t>☑</w:t>
            </w:r>
            <w:r>
              <w:t>适用的法律、法规和客户要求；</w:t>
            </w:r>
          </w:p>
          <w:p>
            <w:pPr>
              <w:shd w:val="clear" w:color="auto"/>
            </w:pPr>
            <w:r>
              <w:rPr>
                <w:rFonts w:hint="eastAsia"/>
              </w:rPr>
              <w:t>☑</w:t>
            </w:r>
            <w:r>
              <w:t xml:space="preserve"> 组织的产品、过程和设备；</w:t>
            </w:r>
          </w:p>
          <w:p>
            <w:pPr>
              <w:shd w:val="clear" w:color="auto"/>
            </w:pPr>
            <w:r>
              <w:rPr>
                <w:rFonts w:hint="eastAsia"/>
              </w:rPr>
              <w:t>☑</w:t>
            </w:r>
            <w:r>
              <w:t xml:space="preserve"> 与食品安全管理体系相关的食品安全危害。</w:t>
            </w:r>
          </w:p>
          <w:p>
            <w:pPr>
              <w:shd w:val="clear" w:color="auto"/>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rPr>
                <w:b/>
                <w:bCs/>
                <w:highlight w:val="none"/>
              </w:rPr>
            </w:pPr>
            <w:r>
              <w:rPr>
                <w:rFonts w:hint="eastAsia"/>
                <w:b/>
                <w:bCs/>
                <w:highlight w:val="none"/>
              </w:rPr>
              <w:t>原材料产品描述</w:t>
            </w:r>
          </w:p>
          <w:p>
            <w:pPr>
              <w:shd w:val="clear"/>
              <w:rPr>
                <w:highlight w:val="none"/>
              </w:rPr>
            </w:pPr>
            <w:r>
              <w:rPr>
                <w:rFonts w:hint="eastAsia"/>
                <w:highlight w:val="none"/>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5"/>
              </w:numPr>
              <w:shd w:val="clear"/>
              <w:rPr>
                <w:color w:val="020FBE"/>
                <w:highlight w:val="none"/>
                <w:lang w:val="en-GB"/>
              </w:rPr>
            </w:pPr>
            <w:r>
              <w:rPr>
                <w:rFonts w:hint="eastAsia"/>
                <w:color w:val="020FBE"/>
                <w:highlight w:val="none"/>
                <w:lang w:val="en-US" w:eastAsia="zh-CN"/>
              </w:rPr>
              <w:t>山楂</w:t>
            </w:r>
          </w:p>
          <w:p>
            <w:pPr>
              <w:numPr>
                <w:ilvl w:val="0"/>
                <w:numId w:val="5"/>
              </w:numPr>
              <w:shd w:val="clear"/>
              <w:rPr>
                <w:color w:val="020FBE"/>
                <w:highlight w:val="none"/>
                <w:lang w:val="en-GB"/>
              </w:rPr>
            </w:pPr>
            <w:r>
              <w:rPr>
                <w:rFonts w:hint="eastAsia"/>
                <w:color w:val="020FBE"/>
                <w:highlight w:val="none"/>
                <w:lang w:val="en-US" w:eastAsia="zh-CN"/>
              </w:rPr>
              <w:t>白砂糖</w:t>
            </w:r>
          </w:p>
          <w:p>
            <w:pPr>
              <w:numPr>
                <w:ilvl w:val="0"/>
                <w:numId w:val="5"/>
              </w:numPr>
              <w:shd w:val="clear"/>
              <w:rPr>
                <w:color w:val="020FBE"/>
                <w:highlight w:val="none"/>
                <w:lang w:val="en-GB"/>
              </w:rPr>
            </w:pPr>
            <w:r>
              <w:rPr>
                <w:rFonts w:hint="eastAsia"/>
                <w:color w:val="020FBE"/>
                <w:highlight w:val="none"/>
                <w:lang w:val="en-US" w:eastAsia="zh-CN"/>
              </w:rPr>
              <w:t>麦芽糖</w:t>
            </w:r>
          </w:p>
          <w:p>
            <w:pPr>
              <w:numPr>
                <w:ilvl w:val="0"/>
                <w:numId w:val="5"/>
              </w:numPr>
              <w:shd w:val="clear"/>
              <w:rPr>
                <w:color w:val="020FBE"/>
                <w:highlight w:val="none"/>
                <w:lang w:val="en-GB"/>
              </w:rPr>
            </w:pPr>
            <w:r>
              <w:rPr>
                <w:rFonts w:hint="eastAsia"/>
                <w:color w:val="020FBE"/>
                <w:highlight w:val="none"/>
                <w:lang w:val="en-US" w:eastAsia="zh-CN"/>
              </w:rPr>
              <w:t>包装膜/包装袋</w:t>
            </w:r>
          </w:p>
          <w:p>
            <w:pPr>
              <w:numPr>
                <w:ilvl w:val="0"/>
                <w:numId w:val="5"/>
              </w:numPr>
              <w:shd w:val="clear"/>
              <w:rPr>
                <w:color w:val="020FBE"/>
                <w:highlight w:val="none"/>
                <w:lang w:val="en-GB"/>
              </w:rPr>
            </w:pPr>
            <w:r>
              <w:rPr>
                <w:rFonts w:hint="eastAsia"/>
                <w:color w:val="020FBE"/>
                <w:highlight w:val="none"/>
                <w:lang w:val="en-US" w:eastAsia="zh-CN"/>
              </w:rPr>
              <w:t>山梨酸钾</w:t>
            </w:r>
          </w:p>
          <w:p>
            <w:pPr>
              <w:numPr>
                <w:ilvl w:val="0"/>
                <w:numId w:val="5"/>
              </w:numPr>
              <w:shd w:val="clear"/>
              <w:rPr>
                <w:color w:val="020FBE"/>
                <w:highlight w:val="none"/>
                <w:lang w:val="en-GB"/>
              </w:rPr>
            </w:pPr>
            <w:r>
              <w:rPr>
                <w:rFonts w:hint="eastAsia"/>
                <w:color w:val="020FBE"/>
                <w:highlight w:val="none"/>
                <w:lang w:val="en-US" w:eastAsia="zh-CN"/>
              </w:rPr>
              <w:t>焦亚硫酸钠</w:t>
            </w:r>
          </w:p>
          <w:p>
            <w:pPr>
              <w:numPr>
                <w:ilvl w:val="0"/>
                <w:numId w:val="5"/>
              </w:numPr>
              <w:shd w:val="clear"/>
              <w:rPr>
                <w:color w:val="020FBE"/>
                <w:highlight w:val="none"/>
                <w:lang w:val="en-GB"/>
              </w:rPr>
            </w:pPr>
            <w:r>
              <w:rPr>
                <w:rFonts w:hint="eastAsia"/>
                <w:color w:val="020FBE"/>
                <w:highlight w:val="none"/>
                <w:lang w:val="en-US" w:eastAsia="zh-CN"/>
              </w:rPr>
              <w:t>柠檬酸</w:t>
            </w:r>
          </w:p>
          <w:p>
            <w:pPr>
              <w:numPr>
                <w:ilvl w:val="0"/>
                <w:numId w:val="5"/>
              </w:numPr>
              <w:shd w:val="clear"/>
              <w:rPr>
                <w:rFonts w:hint="default"/>
                <w:highlight w:val="none"/>
                <w:lang w:val="en-US"/>
              </w:rPr>
            </w:pPr>
            <w:r>
              <w:rPr>
                <w:rFonts w:hint="eastAsia"/>
                <w:color w:val="020FBE"/>
                <w:highlight w:val="none"/>
                <w:lang w:val="en-US" w:eastAsia="zh-CN"/>
              </w:rPr>
              <w:t>生产用水等</w:t>
            </w:r>
          </w:p>
          <w:p>
            <w:pPr>
              <w:numPr>
                <w:ilvl w:val="0"/>
                <w:numId w:val="5"/>
              </w:numPr>
              <w:shd w:val="clea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rPr>
                <w:highlight w:val="none"/>
              </w:rPr>
            </w:pPr>
            <w:r>
              <w:rPr>
                <w:rFonts w:hint="eastAsia"/>
                <w:highlight w:val="none"/>
              </w:rPr>
              <w:t>终产品描述</w:t>
            </w:r>
          </w:p>
          <w:p>
            <w:pPr>
              <w:shd w:val="clear"/>
              <w:rPr>
                <w:highlight w:val="none"/>
              </w:rPr>
            </w:pPr>
            <w:r>
              <w:rPr>
                <w:rFonts w:hint="eastAsia"/>
                <w:highlight w:val="none"/>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5"/>
              </w:numPr>
              <w:shd w:val="clear"/>
              <w:rPr>
                <w:rFonts w:hint="default"/>
                <w:highlight w:val="none"/>
                <w:lang w:val="en-US"/>
              </w:rPr>
            </w:pPr>
            <w:r>
              <w:rPr>
                <w:rFonts w:hint="eastAsia"/>
                <w:color w:val="020FBE"/>
                <w:highlight w:val="none"/>
                <w:lang w:val="en-US" w:eastAsia="zh-CN"/>
              </w:rPr>
              <w:t>山楂糕类产品</w:t>
            </w:r>
          </w:p>
          <w:p>
            <w:pPr>
              <w:numPr>
                <w:ilvl w:val="0"/>
                <w:numId w:val="5"/>
              </w:numPr>
              <w:shd w:val="clear"/>
              <w:rPr>
                <w:highlight w:val="none"/>
                <w:u w:val="none"/>
              </w:rPr>
            </w:pPr>
          </w:p>
          <w:p>
            <w:pPr>
              <w:pStyle w:val="15"/>
              <w:shd w:val="clea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autoSpaceDE w:val="0"/>
              <w:autoSpaceDN w:val="0"/>
              <w:adjustRightInd w:val="0"/>
              <w:rPr>
                <w:b/>
                <w:bCs/>
              </w:rPr>
            </w:pPr>
            <w:r>
              <w:rPr>
                <w:rFonts w:hint="eastAsia"/>
                <w:b/>
                <w:bCs/>
              </w:rPr>
              <w:t>预期用途</w:t>
            </w:r>
          </w:p>
          <w:p>
            <w:pPr>
              <w:shd w:val="clear"/>
              <w:rPr>
                <w:color w:val="0000FF"/>
              </w:rPr>
            </w:pPr>
            <w:r>
              <w:rPr>
                <w:rFonts w:hint="eastAsia"/>
              </w:rPr>
              <w:t xml:space="preserve">组织的产品预期用途为 </w:t>
            </w:r>
            <w:r>
              <w:rPr>
                <w:rFonts w:hint="eastAsia"/>
                <w:color w:val="0000FF"/>
                <w:u w:val="single"/>
              </w:rPr>
              <w:t xml:space="preserve"> </w:t>
            </w:r>
            <w:r>
              <w:rPr>
                <w:rFonts w:hint="eastAsia"/>
                <w:u w:val="single"/>
              </w:rPr>
              <w:t xml:space="preserve"> </w:t>
            </w:r>
            <w:r>
              <w:rPr>
                <w:rFonts w:hint="eastAsia"/>
                <w:u w:val="single"/>
                <w:lang w:val="en-US" w:eastAsia="zh-CN"/>
              </w:rPr>
              <w:t>普通大众</w:t>
            </w:r>
            <w:r>
              <w:rPr>
                <w:rFonts w:hint="eastAsia"/>
                <w:u w:val="single"/>
              </w:rPr>
              <w:t xml:space="preserve">   </w:t>
            </w:r>
            <w:r>
              <w:rPr>
                <w:rFonts w:hint="eastAsia"/>
                <w:color w:val="0000FF"/>
                <w:u w:val="single"/>
              </w:rPr>
              <w:t xml:space="preserve"> </w:t>
            </w:r>
            <w:r>
              <w:rPr>
                <w:rFonts w:hint="eastAsia"/>
                <w:color w:val="0000FF"/>
              </w:rPr>
              <w:t xml:space="preserve"> 。</w:t>
            </w:r>
          </w:p>
          <w:p>
            <w:pPr>
              <w:shd w:val="clear" w:color="auto"/>
            </w:pPr>
            <w:r>
              <w:t>食品安全危害易感消费群体/使用者</w:t>
            </w:r>
            <w:r>
              <w:rPr>
                <w:rFonts w:hint="eastAsia"/>
              </w:rPr>
              <w:t>为：</w:t>
            </w:r>
            <w:r>
              <w:rPr>
                <w:rFonts w:hint="eastAsia"/>
                <w:color w:val="0000FF"/>
                <w:u w:val="single"/>
              </w:rPr>
              <w:t xml:space="preserve">                             </w:t>
            </w:r>
            <w:r>
              <w:rPr>
                <w:rFonts w:hint="eastAsia"/>
                <w:color w:val="0000FF"/>
              </w:rPr>
              <w:t xml:space="preserve"> </w:t>
            </w:r>
          </w:p>
          <w:p>
            <w:pPr>
              <w:shd w:val="clear" w:color="auto"/>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hint="eastAsia" w:ascii="Wingdings" w:hAnsi="Wingdings"/>
                <w:lang w:val="en-US" w:eastAsia="zh-CN"/>
              </w:rPr>
              <w:t xml:space="preserve"> </w:t>
            </w:r>
            <w:r>
              <w:rPr>
                <w:rFonts w:hint="eastAsia"/>
              </w:rPr>
              <w:sym w:font="Wingdings" w:char="00A8"/>
            </w:r>
            <w:r>
              <w:rPr>
                <w:rFonts w:hint="eastAsia"/>
              </w:rPr>
              <w:t xml:space="preserve">易过敏人群    </w:t>
            </w:r>
            <w:r>
              <w:rPr>
                <w:rFonts w:hint="eastAsia" w:ascii="Wingdings" w:hAnsi="Wingdings"/>
              </w:rPr>
              <w:t>¨</w:t>
            </w:r>
            <w:r>
              <w:rPr>
                <w:rFonts w:hint="eastAsia"/>
              </w:rPr>
              <w:t xml:space="preserve">  </w:t>
            </w:r>
            <w:r>
              <w:rPr>
                <w:rFonts w:hint="eastAsia"/>
              </w:rPr>
              <w:sym w:font="Wingdings" w:char="00A8"/>
            </w:r>
            <w:r>
              <w:rPr>
                <w:rFonts w:hint="eastAsia"/>
                <w:lang w:val="en-US" w:eastAsia="zh-CN"/>
              </w:rPr>
              <w:t>团体用餐</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pPr>
            <w:r>
              <w:t>食品安全小组建立、保持和更新流程图，作为FSMS涵盖的产品或产品类别和过程的文件化信息。</w:t>
            </w:r>
          </w:p>
          <w:p>
            <w:pPr>
              <w:shd w:val="clear"/>
              <w:autoSpaceDE w:val="0"/>
              <w:autoSpaceDN w:val="0"/>
              <w:adjustRightInd w:val="0"/>
              <w:rPr>
                <w:b/>
              </w:rPr>
            </w:pPr>
            <w:r>
              <w:rPr>
                <w:rFonts w:hint="eastAsia"/>
                <w:b/>
              </w:rPr>
              <w:t>流程图的制定</w:t>
            </w:r>
          </w:p>
          <w:p>
            <w:pPr>
              <w:widowControl/>
              <w:numPr>
                <w:ilvl w:val="0"/>
                <w:numId w:val="6"/>
              </w:numPr>
              <w:shd w:val="clear"/>
              <w:spacing w:before="40" w:after="40"/>
            </w:pPr>
            <w:r>
              <w:rPr>
                <w:rFonts w:hint="eastAsia"/>
              </w:rPr>
              <w:t>工艺流程图包括了：</w:t>
            </w:r>
          </w:p>
          <w:p>
            <w:pPr>
              <w:shd w:val="clear" w:color="auto"/>
            </w:pPr>
            <w:r>
              <w:t>a） 操作步骤的顺序和相互作用</w:t>
            </w:r>
            <w:r>
              <w:rPr>
                <w:rFonts w:hint="eastAsia"/>
              </w:rPr>
              <w:t>（</w:t>
            </w:r>
            <w:r>
              <w:t>加工设备及接触材料、加工助剂及材料流向</w:t>
            </w:r>
            <w:r>
              <w:rPr>
                <w:rFonts w:hint="eastAsia"/>
              </w:rPr>
              <w:t>）</w:t>
            </w:r>
            <w:r>
              <w:t>；</w:t>
            </w:r>
          </w:p>
          <w:p>
            <w:pPr>
              <w:shd w:val="clear" w:color="auto"/>
              <w:rPr>
                <w:rFonts w:hint="eastAsia" w:eastAsia="宋体"/>
                <w:lang w:eastAsia="zh-CN"/>
              </w:rPr>
            </w:pPr>
            <w:r>
              <w:t>b） 任何外包过程；</w:t>
            </w:r>
            <w:r>
              <w:rPr>
                <w:rFonts w:hint="eastAsia"/>
                <w:lang w:eastAsia="zh-CN"/>
              </w:rPr>
              <w:t>（</w:t>
            </w:r>
            <w:r>
              <w:rPr>
                <w:rFonts w:hint="eastAsia"/>
                <w:lang w:val="en-US" w:eastAsia="zh-CN"/>
              </w:rPr>
              <w:t>不涉及</w:t>
            </w:r>
            <w:r>
              <w:rPr>
                <w:rFonts w:hint="eastAsia"/>
                <w:lang w:eastAsia="zh-CN"/>
              </w:rPr>
              <w:t>）</w:t>
            </w:r>
          </w:p>
          <w:p>
            <w:pPr>
              <w:shd w:val="clear" w:color="auto"/>
            </w:pPr>
            <w:r>
              <w:t>c） 原材料、辅料、加工助剂</w:t>
            </w:r>
            <w:r>
              <w:rPr>
                <w:rFonts w:hint="eastAsia"/>
                <w:lang w:eastAsia="zh-CN"/>
              </w:rPr>
              <w:t>（</w:t>
            </w:r>
            <w:r>
              <w:rPr>
                <w:rFonts w:hint="eastAsia"/>
                <w:lang w:val="en-US" w:eastAsia="zh-CN"/>
              </w:rPr>
              <w:t>不涉及</w:t>
            </w:r>
            <w:r>
              <w:rPr>
                <w:rFonts w:hint="eastAsia"/>
                <w:lang w:eastAsia="zh-CN"/>
              </w:rPr>
              <w:t>）</w:t>
            </w:r>
            <w:r>
              <w:t>、包装材料、公用工程</w:t>
            </w:r>
            <w:r>
              <w:rPr>
                <w:rFonts w:hint="eastAsia"/>
                <w:lang w:eastAsia="zh-CN"/>
              </w:rPr>
              <w:t>（</w:t>
            </w:r>
            <w:r>
              <w:rPr>
                <w:rFonts w:hint="eastAsia"/>
                <w:lang w:val="en-US" w:eastAsia="zh-CN"/>
              </w:rPr>
              <w:t>不涉及</w:t>
            </w:r>
            <w:r>
              <w:rPr>
                <w:rFonts w:hint="eastAsia"/>
                <w:lang w:eastAsia="zh-CN"/>
              </w:rPr>
              <w:t>）</w:t>
            </w:r>
            <w:r>
              <w:t>和中间产品投入点；</w:t>
            </w:r>
          </w:p>
          <w:p>
            <w:pPr>
              <w:shd w:val="clear" w:color="auto"/>
              <w:rPr>
                <w:rFonts w:hint="eastAsia" w:eastAsia="宋体"/>
                <w:lang w:eastAsia="zh-CN"/>
              </w:rPr>
            </w:pPr>
            <w:r>
              <w:t>d） 返工点和循环点；</w:t>
            </w:r>
            <w:r>
              <w:rPr>
                <w:rFonts w:hint="eastAsia"/>
                <w:lang w:eastAsia="zh-CN"/>
              </w:rPr>
              <w:t>（</w:t>
            </w:r>
            <w:r>
              <w:rPr>
                <w:rFonts w:hint="eastAsia"/>
                <w:lang w:val="en-US" w:eastAsia="zh-CN"/>
              </w:rPr>
              <w:t>不涉及</w:t>
            </w:r>
            <w:r>
              <w:rPr>
                <w:rFonts w:hint="eastAsia"/>
                <w:lang w:eastAsia="zh-CN"/>
              </w:rPr>
              <w:t>）</w:t>
            </w:r>
          </w:p>
          <w:p>
            <w:pPr>
              <w:shd w:val="clear" w:color="auto"/>
            </w:pPr>
            <w:r>
              <w:t>e） 成品、 中间产品和副产品放行点及废弃物的排放点</w:t>
            </w:r>
          </w:p>
          <w:p>
            <w:pPr>
              <w:widowControl/>
              <w:numPr>
                <w:ilvl w:val="0"/>
                <w:numId w:val="6"/>
              </w:numPr>
              <w:shd w:val="clear"/>
              <w:autoSpaceDE w:val="0"/>
              <w:autoSpaceDN w:val="0"/>
              <w:adjustRightInd w:val="0"/>
              <w:rPr>
                <w:b/>
              </w:rPr>
            </w:pPr>
            <w:r>
              <w:rPr>
                <w:rFonts w:hint="eastAsia"/>
              </w:rPr>
              <w:t>工厂位置图</w:t>
            </w:r>
          </w:p>
          <w:p>
            <w:pPr>
              <w:widowControl/>
              <w:numPr>
                <w:ilvl w:val="0"/>
                <w:numId w:val="6"/>
              </w:numPr>
              <w:shd w:val="clear"/>
              <w:autoSpaceDE w:val="0"/>
              <w:autoSpaceDN w:val="0"/>
              <w:adjustRightInd w:val="0"/>
            </w:pPr>
            <w:r>
              <w:rPr>
                <w:rFonts w:hint="eastAsia"/>
              </w:rPr>
              <w:t>厂区平面图</w:t>
            </w:r>
          </w:p>
          <w:p>
            <w:pPr>
              <w:widowControl/>
              <w:numPr>
                <w:ilvl w:val="0"/>
                <w:numId w:val="6"/>
              </w:numPr>
              <w:shd w:val="clear"/>
              <w:autoSpaceDE w:val="0"/>
              <w:autoSpaceDN w:val="0"/>
              <w:adjustRightInd w:val="0"/>
              <w:rPr>
                <w:b/>
              </w:rPr>
            </w:pPr>
            <w:r>
              <w:rPr>
                <w:rFonts w:hint="eastAsia"/>
              </w:rPr>
              <w:t>车间平面图（</w:t>
            </w:r>
            <w:r>
              <w:t>经营场所的布局，包括食品和非食品加工区</w:t>
            </w:r>
            <w:r>
              <w:rPr>
                <w:rFonts w:hint="eastAsia"/>
              </w:rPr>
              <w:t>）</w:t>
            </w:r>
          </w:p>
          <w:p>
            <w:pPr>
              <w:widowControl/>
              <w:numPr>
                <w:ilvl w:val="0"/>
                <w:numId w:val="6"/>
              </w:numPr>
              <w:shd w:val="clear"/>
              <w:autoSpaceDE w:val="0"/>
              <w:autoSpaceDN w:val="0"/>
              <w:adjustRightInd w:val="0"/>
              <w:rPr>
                <w:b/>
              </w:rPr>
            </w:pPr>
            <w:r>
              <w:rPr>
                <w:rFonts w:hint="eastAsia"/>
              </w:rPr>
              <w:t>人流、物流、气流图</w:t>
            </w:r>
          </w:p>
          <w:p>
            <w:pPr>
              <w:widowControl/>
              <w:numPr>
                <w:ilvl w:val="0"/>
                <w:numId w:val="6"/>
              </w:numPr>
              <w:shd w:val="clear"/>
              <w:autoSpaceDE w:val="0"/>
              <w:autoSpaceDN w:val="0"/>
              <w:adjustRightInd w:val="0"/>
              <w:rPr>
                <w:b/>
              </w:rPr>
            </w:pPr>
            <w:r>
              <w:rPr>
                <w:rFonts w:hint="eastAsia"/>
              </w:rPr>
              <w:t>供排水网络图</w:t>
            </w:r>
          </w:p>
          <w:p>
            <w:pPr>
              <w:widowControl/>
              <w:numPr>
                <w:ilvl w:val="0"/>
                <w:numId w:val="6"/>
              </w:numPr>
              <w:shd w:val="clear"/>
              <w:autoSpaceDE w:val="0"/>
              <w:autoSpaceDN w:val="0"/>
              <w:adjustRightInd w:val="0"/>
              <w:rPr>
                <w:b/>
              </w:rPr>
            </w:pPr>
            <w:r>
              <w:rPr>
                <w:rFonts w:hint="eastAsia"/>
              </w:rPr>
              <w:t>防虫害分布图</w:t>
            </w:r>
          </w:p>
          <w:p>
            <w:pPr>
              <w:widowControl/>
              <w:numPr>
                <w:ilvl w:val="0"/>
                <w:numId w:val="6"/>
              </w:numPr>
              <w:shd w:val="clear"/>
              <w:autoSpaceDE w:val="0"/>
              <w:autoSpaceDN w:val="0"/>
              <w:adjustRightInd w:val="0"/>
              <w:rPr>
                <w:bCs/>
              </w:rPr>
            </w:pPr>
            <w:r>
              <w:rPr>
                <w:rFonts w:hint="eastAsia"/>
                <w:bCs/>
              </w:rPr>
              <w:t>其他</w:t>
            </w:r>
          </w:p>
          <w:p>
            <w:pPr>
              <w:shd w:val="clear"/>
            </w:pPr>
            <w:r>
              <w:rPr>
                <w:rFonts w:hint="eastAsia"/>
              </w:rPr>
              <w:t>各种流程图和平面图完整、准确、清晰。</w:t>
            </w:r>
            <w:r>
              <w:rPr>
                <w:rFonts w:hint="eastAsia"/>
              </w:rPr>
              <w:sym w:font="Wingdings" w:char="00FE"/>
            </w:r>
            <w:r>
              <w:rPr>
                <w:rFonts w:hint="eastAsia"/>
              </w:rPr>
              <w:t xml:space="preserve">是   </w:t>
            </w:r>
            <w:r>
              <w:rPr>
                <w:rFonts w:hint="eastAsia"/>
              </w:rPr>
              <w:sym w:font="Wingdings" w:char="00A8"/>
            </w:r>
            <w:r>
              <w:rPr>
                <w:rFonts w:hint="eastAsia"/>
              </w:rPr>
              <w:t>否</w:t>
            </w:r>
          </w:p>
          <w:p>
            <w:pPr>
              <w:shd w:val="clear" w:color="auto"/>
            </w:pPr>
          </w:p>
          <w:p>
            <w:pPr>
              <w:shd w:val="clear" w:color="auto"/>
              <w:rPr>
                <w:rFonts w:hint="default" w:eastAsia="宋体"/>
                <w:lang w:val="en-US" w:eastAsia="zh-CN"/>
              </w:rPr>
            </w:pPr>
            <w:r>
              <w:t>食品安全小组在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fill="D6E3BC" w:themeFill="accent3" w:themeFillTint="66"/>
            </w:pPr>
            <w:r>
              <w:rPr>
                <w:b/>
                <w:bCs/>
              </w:rPr>
              <w:t>危害分析</w:t>
            </w:r>
          </w:p>
          <w:p>
            <w:pPr>
              <w:shd w:val="clear" w:color="auto" w:fill="D6E3BC" w:themeFill="accent3" w:themeFillTint="66"/>
            </w:pPr>
            <w:r>
              <w:t>食品安全小组根据初步情况进行危害分析，确定需要控制的危害。控制程度应确保食品安全，并在适当情况下采用多种控制措施的组合。</w:t>
            </w:r>
          </w:p>
          <w:p>
            <w:pPr>
              <w:shd w:val="clear" w:color="auto" w:fill="D6E3BC" w:themeFill="accent3" w:themeFillTint="66"/>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D6E3BC" w:themeFill="accent3" w:themeFillTint="66"/>
            </w:pPr>
            <w:r>
              <w:t>a） 根据8.5.1收集的初步信息和数据；</w:t>
            </w:r>
          </w:p>
          <w:p>
            <w:pPr>
              <w:shd w:val="clear" w:color="auto" w:fill="D6E3BC" w:themeFill="accent3" w:themeFillTint="66"/>
            </w:pPr>
            <w:r>
              <w:t>b） 经验</w:t>
            </w:r>
            <w:r>
              <w:rPr>
                <w:rFonts w:hint="eastAsia"/>
              </w:rPr>
              <w:t>（</w:t>
            </w:r>
            <w:r>
              <w:t>可包括熟悉其他设施的产品和/或过程的员工和外部专家提供的信息</w:t>
            </w:r>
            <w:r>
              <w:rPr>
                <w:rFonts w:hint="eastAsia"/>
              </w:rPr>
              <w:t>）</w:t>
            </w:r>
            <w:r>
              <w:t>；</w:t>
            </w:r>
          </w:p>
          <w:p>
            <w:pPr>
              <w:shd w:val="clear" w:color="auto" w:fill="D6E3BC" w:themeFill="accent3" w:themeFillTint="66"/>
            </w:pPr>
            <w:r>
              <w:t>c） 内部和外部信息，尽可能包括流行病学、科学和其他历史数据；</w:t>
            </w:r>
          </w:p>
          <w:p>
            <w:pPr>
              <w:shd w:val="clear" w:color="auto" w:fill="D6E3BC" w:themeFill="accent3" w:themeFillTint="66"/>
            </w:pPr>
            <w:r>
              <w:t>d） 来自食品链的与最终产品、中间产品和食用时食品安全相关的食品安全危害信息；</w:t>
            </w:r>
          </w:p>
          <w:p>
            <w:pPr>
              <w:shd w:val="clear" w:color="auto" w:fill="D6E3BC" w:themeFill="accent3" w:themeFillTint="66"/>
            </w:pPr>
            <w:r>
              <w:t>e） 法律、法规和客户要求。</w:t>
            </w:r>
            <w:r>
              <w:rPr>
                <w:rFonts w:hint="eastAsia"/>
              </w:rPr>
              <w:t>（可包括食品安全目标（FSO））</w:t>
            </w:r>
          </w:p>
          <w:p>
            <w:pPr>
              <w:shd w:val="clear" w:color="auto" w:fill="D6E3BC" w:themeFill="accent3" w:themeFillTint="66"/>
            </w:pPr>
            <w:r>
              <w:t>应充分详细地考虑危</w:t>
            </w:r>
            <w:r>
              <w:rPr>
                <w:rFonts w:hint="eastAsia"/>
              </w:rPr>
              <w:t>害</w:t>
            </w:r>
            <w:r>
              <w:t>，以便进行危险评估和选择适当的控制措施。</w:t>
            </w:r>
          </w:p>
          <w:p>
            <w:pPr>
              <w:shd w:val="clear" w:color="auto" w:fill="D6E3BC" w:themeFill="accent3" w:themeFillTint="66"/>
            </w:pPr>
          </w:p>
          <w:p>
            <w:pPr>
              <w:shd w:val="clear" w:color="auto" w:fill="D6E3BC" w:themeFill="accent3" w:themeFillTint="66"/>
            </w:pPr>
            <w:r>
              <w:t>组织应确定每种食品安全危害可能出现、引入、增加或持续的步骤（如接收原料、加工、分配和交付）。</w:t>
            </w:r>
          </w:p>
          <w:p>
            <w:pPr>
              <w:shd w:val="clear" w:color="auto" w:fill="D6E3BC" w:themeFill="accent3" w:themeFillTint="66"/>
            </w:pPr>
            <w:r>
              <w:t>当识别危害时，组织应考虑：</w:t>
            </w:r>
          </w:p>
          <w:p>
            <w:pPr>
              <w:shd w:val="clear" w:color="auto" w:fill="D6E3BC" w:themeFill="accent3" w:themeFillTint="66"/>
            </w:pPr>
            <w:r>
              <w:t>a） 食物链的前后阶段；</w:t>
            </w:r>
          </w:p>
          <w:p>
            <w:pPr>
              <w:shd w:val="clear" w:color="auto" w:fill="D6E3BC" w:themeFill="accent3" w:themeFillTint="66"/>
            </w:pPr>
            <w:r>
              <w:t>b） 流程图中的所有步骤；</w:t>
            </w:r>
          </w:p>
          <w:p>
            <w:pPr>
              <w:shd w:val="clear" w:color="auto" w:fill="D6E3BC" w:themeFill="accent3" w:themeFillTint="66"/>
            </w:pPr>
            <w:r>
              <w:t>c） 工艺设备、公用设施/服务、工艺环境和人员</w:t>
            </w:r>
          </w:p>
          <w:p>
            <w:pPr>
              <w:shd w:val="clear" w:color="auto" w:fill="D6E3BC" w:themeFill="accent3" w:themeFillTint="66"/>
            </w:pPr>
          </w:p>
          <w:p>
            <w:pPr>
              <w:shd w:val="clear" w:color="auto" w:fill="D6E3BC" w:themeFill="accent3" w:themeFillTint="66"/>
            </w:pPr>
            <w:r>
              <w:t>组织应尽可能确定所识别最终产品的的每种食品安全危害的可接受水平。</w:t>
            </w:r>
          </w:p>
          <w:p>
            <w:pPr>
              <w:shd w:val="clear" w:color="auto" w:fill="D6E3BC" w:themeFill="accent3" w:themeFillTint="66"/>
            </w:pPr>
            <w:r>
              <w:t>在确定可接受的水平时，组织应：</w:t>
            </w:r>
          </w:p>
          <w:p>
            <w:pPr>
              <w:shd w:val="clear" w:color="auto" w:fill="D6E3BC" w:themeFill="accent3" w:themeFillTint="66"/>
            </w:pPr>
            <w:r>
              <w:t>a） 确保确定适用的法律、法规和客户要求；</w:t>
            </w:r>
          </w:p>
          <w:p>
            <w:pPr>
              <w:shd w:val="clear" w:color="auto" w:fill="D6E3BC" w:themeFill="accent3" w:themeFillTint="66"/>
            </w:pPr>
            <w:r>
              <w:t>b） 考虑最终产品的预期用途；</w:t>
            </w:r>
          </w:p>
          <w:p>
            <w:pPr>
              <w:shd w:val="clear" w:color="auto" w:fill="D6E3BC" w:themeFill="accent3" w:themeFillTint="66"/>
            </w:pPr>
            <w:r>
              <w:t>c） 考虑其他相关信息。</w:t>
            </w:r>
          </w:p>
          <w:p>
            <w:pPr>
              <w:shd w:val="clear" w:color="auto" w:fill="D6E3BC" w:themeFill="accent3" w:themeFillTint="66"/>
            </w:pPr>
            <w:r>
              <w:t>组织应保持有关确定可接受水平和证明可接受水平的文件化信息。</w:t>
            </w:r>
          </w:p>
          <w:p>
            <w:pPr>
              <w:shd w:val="clear" w:fill="D6E3BC" w:themeFill="accent3" w:themeFillTint="66"/>
              <w:tabs>
                <w:tab w:val="right" w:pos="3119"/>
              </w:tabs>
              <w:rPr>
                <w:b/>
              </w:rPr>
            </w:pPr>
          </w:p>
          <w:p>
            <w:pPr>
              <w:shd w:val="clear" w:color="auto" w:fill="D6E3BC" w:themeFill="accent3" w:themeFillTint="66"/>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fill="D6E3BC" w:themeFill="accent3" w:themeFillTint="66"/>
              <w:autoSpaceDE w:val="0"/>
              <w:autoSpaceDN w:val="0"/>
              <w:adjustRightInd w:val="0"/>
              <w:rPr>
                <w:b/>
                <w:highlight w:val="none"/>
              </w:rPr>
            </w:pPr>
            <w:r>
              <w:rPr>
                <w:rFonts w:hint="eastAsia"/>
                <w:b/>
                <w:highlight w:val="none"/>
              </w:rPr>
              <w:t>危害评估</w:t>
            </w:r>
          </w:p>
          <w:p>
            <w:pPr>
              <w:shd w:val="clear" w:fill="D6E3BC" w:themeFill="accent3" w:themeFillTint="66"/>
              <w:rPr>
                <w:highlight w:val="none"/>
                <w:lang w:val="en-GB"/>
              </w:rPr>
            </w:pPr>
            <w:r>
              <w:rPr>
                <w:rFonts w:hint="eastAsia"/>
                <w:highlight w:val="none"/>
                <w:lang w:val="en-GB"/>
              </w:rPr>
              <w:t>HACCP小组</w:t>
            </w:r>
            <w:r>
              <w:rPr>
                <w:rFonts w:hint="eastAsia"/>
                <w:highlight w:val="none"/>
              </w:rPr>
              <w:t>于</w:t>
            </w:r>
            <w:r>
              <w:rPr>
                <w:rFonts w:hint="eastAsia"/>
                <w:color w:val="0000FF"/>
                <w:szCs w:val="21"/>
                <w:highlight w:val="none"/>
                <w:u w:val="single"/>
              </w:rPr>
              <w:t xml:space="preserve"> </w:t>
            </w:r>
            <w:r>
              <w:rPr>
                <w:rFonts w:hint="eastAsia"/>
                <w:color w:val="0000FF"/>
                <w:szCs w:val="21"/>
                <w:highlight w:val="none"/>
                <w:u w:val="single"/>
                <w:lang w:val="en-US" w:eastAsia="zh-CN"/>
              </w:rPr>
              <w:t>2022</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4</w:t>
            </w:r>
            <w:r>
              <w:rPr>
                <w:rFonts w:hint="eastAsia"/>
                <w:color w:val="0000FF"/>
                <w:szCs w:val="21"/>
                <w:highlight w:val="none"/>
              </w:rPr>
              <w:t>月</w:t>
            </w:r>
            <w:r>
              <w:rPr>
                <w:rFonts w:hint="eastAsia"/>
                <w:color w:val="0000FF"/>
                <w:szCs w:val="21"/>
                <w:highlight w:val="none"/>
                <w:u w:val="single"/>
              </w:rPr>
              <w:t xml:space="preserve">  </w:t>
            </w:r>
            <w:r>
              <w:rPr>
                <w:rFonts w:hint="eastAsia"/>
                <w:color w:val="0000FF"/>
                <w:szCs w:val="21"/>
                <w:highlight w:val="none"/>
                <w:u w:val="single"/>
                <w:lang w:val="en-US" w:eastAsia="zh-CN"/>
              </w:rPr>
              <w:t>1</w:t>
            </w:r>
            <w:r>
              <w:rPr>
                <w:rFonts w:hint="eastAsia"/>
                <w:color w:val="0000FF"/>
                <w:szCs w:val="21"/>
                <w:highlight w:val="none"/>
                <w:u w:val="single"/>
              </w:rPr>
              <w:t xml:space="preserve"> </w:t>
            </w:r>
            <w:r>
              <w:rPr>
                <w:rFonts w:hint="eastAsia"/>
                <w:color w:val="0000FF"/>
                <w:szCs w:val="21"/>
                <w:highlight w:val="none"/>
              </w:rPr>
              <w:t>日</w:t>
            </w:r>
            <w:r>
              <w:rPr>
                <w:rFonts w:hint="eastAsia"/>
                <w:highlight w:val="none"/>
                <w:lang w:val="en-GB"/>
              </w:rPr>
              <w:t>针对已识别的潜在危害，评估其发生的严重性和可能性，如果这种潜在危害在该步骤极可能发生且后果严重，被确定为显著危害。</w:t>
            </w:r>
          </w:p>
          <w:p>
            <w:pPr>
              <w:shd w:val="clear"/>
              <w:tabs>
                <w:tab w:val="right" w:pos="3119"/>
              </w:tabs>
              <w:rPr>
                <w:rFonts w:hint="eastAsia"/>
                <w:highlight w:val="none"/>
                <w:lang w:val="en-GB"/>
              </w:rPr>
            </w:pPr>
          </w:p>
          <w:p>
            <w:pPr>
              <w:shd w:val="clear"/>
              <w:tabs>
                <w:tab w:val="right" w:pos="3119"/>
              </w:tabs>
              <w:rPr>
                <w:highlight w:val="none"/>
                <w:lang w:val="en-GB"/>
              </w:rPr>
            </w:pPr>
            <w:r>
              <w:rPr>
                <w:rFonts w:hint="eastAsia"/>
                <w:highlight w:val="none"/>
                <w:lang w:val="en-GB"/>
              </w:rPr>
              <w:t>保持了危害评估依据和结果的记录。</w:t>
            </w:r>
          </w:p>
          <w:p>
            <w:pPr>
              <w:shd w:val="clear"/>
              <w:rPr>
                <w:b/>
                <w:bCs/>
                <w:highlight w:val="none"/>
              </w:rPr>
            </w:pPr>
            <w:r>
              <w:rPr>
                <w:b/>
                <w:bCs/>
                <w:highlight w:val="none"/>
                <w:lang w:val="en-GB"/>
              </w:rPr>
              <w:t>显著危害</w:t>
            </w:r>
            <w:r>
              <w:rPr>
                <w:b/>
                <w:bCs/>
                <w:highlight w:val="none"/>
              </w:rPr>
              <w:t>包括：</w:t>
            </w:r>
          </w:p>
          <w:p>
            <w:r>
              <w:t>化学危害：</w:t>
            </w:r>
            <w:r>
              <w:rPr/>
              <w:sym w:font="Wingdings" w:char="00FE"/>
            </w:r>
            <w:r>
              <w:t xml:space="preserve">重金属  </w:t>
            </w:r>
            <w:r>
              <w:rPr/>
              <w:sym w:font="Wingdings" w:char="00FE"/>
            </w:r>
            <w:r>
              <w:t xml:space="preserve">农药残留  </w:t>
            </w:r>
            <w:r>
              <w:rPr/>
              <w:sym w:font="Wingdings" w:char="00A8"/>
            </w:r>
            <w:r>
              <w:t xml:space="preserve">兽药残留  </w:t>
            </w:r>
            <w:r>
              <w:rPr/>
              <w:sym w:font="Wingdings" w:char="00A8"/>
            </w:r>
            <w:r>
              <w:t xml:space="preserve">黄曲霉毒素  </w:t>
            </w:r>
            <w:r>
              <w:rPr/>
              <w:sym w:font="Wingdings" w:char="00A8"/>
            </w:r>
            <w:r>
              <w:t xml:space="preserve">放射性物质 </w:t>
            </w:r>
            <w:r>
              <w:rPr/>
              <w:sym w:font="Wingdings" w:char="00A8"/>
            </w:r>
            <w:r>
              <w:t xml:space="preserve">贝类毒素 </w:t>
            </w:r>
          </w:p>
          <w:p>
            <w:pPr>
              <w:ind w:firstLine="840" w:firstLineChars="400"/>
            </w:pPr>
            <w:r>
              <w:t xml:space="preserve">  </w:t>
            </w:r>
            <w:r>
              <w:rPr/>
              <w:sym w:font="Wingdings" w:char="00FE"/>
            </w:r>
            <w:r>
              <w:t xml:space="preserve">超量的食品添加剂   </w:t>
            </w:r>
            <w:r>
              <w:rPr/>
              <w:sym w:font="Wingdings" w:char="00FE"/>
            </w:r>
            <w:r>
              <w:t xml:space="preserve">化学品（润滑油、清洁剂、消毒剂、杀虫剂）  </w:t>
            </w:r>
            <w:r>
              <w:rPr/>
              <w:sym w:font="Wingdings" w:char="00A8"/>
            </w:r>
            <w:r>
              <w:t xml:space="preserve"> </w:t>
            </w:r>
            <w:r>
              <w:rPr>
                <w:bCs/>
                <w:lang w:val="en-GB"/>
              </w:rPr>
              <w:t>苯并芘</w:t>
            </w:r>
            <w:r>
              <w:rPr>
                <w:b/>
                <w:color w:val="0000FF"/>
              </w:rPr>
              <w:t xml:space="preserve"> </w:t>
            </w:r>
            <w:r>
              <w:t xml:space="preserve">  </w:t>
            </w:r>
          </w:p>
          <w:p>
            <w:pPr>
              <w:ind w:firstLine="1050" w:firstLineChars="500"/>
            </w:pPr>
            <w:r>
              <w:rPr/>
              <w:sym w:font="Wingdings" w:char="00FE"/>
            </w:r>
            <w:r>
              <w:t xml:space="preserve">二氧化硫残留 </w:t>
            </w:r>
            <w:r>
              <w:rPr/>
              <w:sym w:font="Wingdings" w:char="00A8"/>
            </w:r>
            <w:r>
              <w:t xml:space="preserve">有毒有害种子 </w:t>
            </w:r>
            <w:r>
              <w:rPr/>
              <w:sym w:font="Wingdings" w:char="00A8"/>
            </w:r>
            <w:r>
              <w:t>其他</w:t>
            </w:r>
            <w:r>
              <w:rPr>
                <w:rFonts w:hint="eastAsia"/>
              </w:rPr>
              <w:t>（挥发性盐基氮、组胺、多氯联苯）</w:t>
            </w:r>
            <w:r>
              <w:t xml:space="preserve">  </w:t>
            </w:r>
          </w:p>
          <w:p>
            <w:r>
              <w:t>生物危害：</w:t>
            </w:r>
            <w:r>
              <w:rPr/>
              <w:sym w:font="Wingdings" w:char="00FE"/>
            </w:r>
            <w:r>
              <w:t xml:space="preserve">大肠杆菌    </w:t>
            </w:r>
            <w:r>
              <w:rPr/>
              <w:sym w:font="Wingdings" w:char="00FE"/>
            </w:r>
            <w:r>
              <w:t xml:space="preserve">金黄色葡萄球菌  </w:t>
            </w:r>
            <w:r>
              <w:rPr/>
              <w:sym w:font="Wingdings" w:char="00A8"/>
            </w:r>
            <w:r>
              <w:t xml:space="preserve">志贺氏菌  </w:t>
            </w:r>
            <w:r>
              <w:rPr/>
              <w:sym w:font="Wingdings" w:char="00FE"/>
            </w:r>
            <w:r>
              <w:t xml:space="preserve">霉菌  </w:t>
            </w:r>
            <w:r>
              <w:rPr/>
              <w:sym w:font="Wingdings" w:char="00A8"/>
            </w:r>
            <w:r>
              <w:t xml:space="preserve">酵母菌 </w:t>
            </w:r>
            <w:r>
              <w:rPr/>
              <w:sym w:font="Wingdings" w:char="00FE"/>
            </w:r>
            <w:r>
              <w:t>沙门氏菌</w:t>
            </w:r>
          </w:p>
          <w:p>
            <w:pPr>
              <w:rPr>
                <w:rFonts w:hint="eastAsia"/>
                <w:lang w:eastAsia="zh-CN"/>
              </w:rPr>
            </w:pPr>
            <w:r>
              <w:t xml:space="preserve">          </w:t>
            </w:r>
            <w:r>
              <w:rPr/>
              <w:sym w:font="Wingdings" w:char="00A8"/>
            </w:r>
            <w:r>
              <w:t xml:space="preserve">副溶血弧菌 </w:t>
            </w:r>
            <w:r>
              <w:rPr/>
              <w:sym w:font="Wingdings" w:char="00FE"/>
            </w:r>
            <w:r>
              <w:t xml:space="preserve">寄生虫   </w:t>
            </w:r>
            <w:r>
              <w:rPr/>
              <w:sym w:font="Wingdings" w:char="00A8"/>
            </w:r>
            <w:r>
              <w:t xml:space="preserve">革兰氏阳性菌  </w:t>
            </w:r>
            <w:r>
              <w:rPr/>
              <w:sym w:font="Wingdings" w:char="00A8"/>
            </w:r>
            <w:r>
              <w:t xml:space="preserve">革兰氏阴性菌      </w:t>
            </w:r>
            <w:r>
              <w:rPr/>
              <w:sym w:font="Wingdings" w:char="00FE"/>
            </w:r>
            <w:r>
              <w:t>其他</w:t>
            </w:r>
            <w:r>
              <w:rPr>
                <w:rFonts w:hint="eastAsia"/>
                <w:lang w:eastAsia="zh-CN"/>
              </w:rPr>
              <w:t>（</w:t>
            </w:r>
            <w:r>
              <w:rPr>
                <w:rFonts w:hint="eastAsia"/>
                <w:lang w:val="en-US" w:eastAsia="zh-CN"/>
              </w:rPr>
              <w:t>菌落总数</w:t>
            </w:r>
            <w:r>
              <w:rPr>
                <w:rFonts w:hint="eastAsia"/>
                <w:lang w:eastAsia="zh-CN"/>
              </w:rPr>
              <w:t>）</w:t>
            </w:r>
          </w:p>
          <w:p>
            <w:pPr>
              <w:rPr>
                <w:rFonts w:hint="eastAsia" w:eastAsia="宋体"/>
                <w:lang w:eastAsia="zh-CN"/>
              </w:rPr>
            </w:pPr>
            <w:r>
              <w:t>物理危害：</w:t>
            </w:r>
            <w:r>
              <w:rPr/>
              <w:sym w:font="Wingdings" w:char="00FE"/>
            </w:r>
            <w:r>
              <w:t xml:space="preserve">金属屑  </w:t>
            </w:r>
            <w:r>
              <w:rPr/>
              <w:sym w:font="Wingdings" w:char="00FE"/>
            </w:r>
            <w:r>
              <w:t xml:space="preserve">玻璃渣  </w:t>
            </w:r>
            <w:r>
              <w:rPr/>
              <w:sym w:font="Wingdings" w:char="00A8"/>
            </w:r>
            <w:r>
              <w:t xml:space="preserve">碎石  </w:t>
            </w:r>
            <w:r>
              <w:rPr/>
              <w:sym w:font="Wingdings" w:char="00A8"/>
            </w:r>
            <w:r>
              <w:t xml:space="preserve">沙子  </w:t>
            </w:r>
            <w:r>
              <w:rPr/>
              <w:sym w:font="Wingdings" w:char="00FE"/>
            </w:r>
            <w:r>
              <w:t>其他异物</w:t>
            </w:r>
            <w:r>
              <w:rPr>
                <w:rFonts w:hint="eastAsia"/>
                <w:lang w:eastAsia="zh-CN"/>
              </w:rPr>
              <w:t>（</w:t>
            </w:r>
            <w:r>
              <w:rPr>
                <w:rFonts w:hint="eastAsia"/>
                <w:lang w:val="en-US" w:eastAsia="zh-CN"/>
              </w:rPr>
              <w:t>头发、线绳等</w:t>
            </w:r>
            <w:r>
              <w:rPr>
                <w:rFonts w:hint="eastAsia"/>
                <w:lang w:eastAsia="zh-CN"/>
              </w:rPr>
              <w:t>）</w:t>
            </w:r>
          </w:p>
          <w:p>
            <w:pPr>
              <w:shd w:val="clear" w:color="auto"/>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rPr>
                <w:highlight w:val="none"/>
              </w:rPr>
            </w:pPr>
            <w:r>
              <w:rPr>
                <w:highlight w:val="none"/>
              </w:rPr>
              <w:t>控制措施的选择和分类</w:t>
            </w:r>
          </w:p>
          <w:p>
            <w:pPr>
              <w:shd w:val="clear" w:color="auto"/>
              <w:rPr>
                <w:highlight w:val="none"/>
              </w:rPr>
            </w:pPr>
            <w:r>
              <w:rPr>
                <w:highlight w:val="none"/>
              </w:rPr>
              <w:t>组织在危害评价的基础上，选择适当的控制措施或控制措施的组合，以防止或将已识别的显著食品安全危害降低到规定的可接受水平。</w:t>
            </w:r>
          </w:p>
          <w:p>
            <w:pPr>
              <w:shd w:val="clear" w:color="auto"/>
              <w:rPr>
                <w:highlight w:val="none"/>
              </w:rPr>
            </w:pPr>
            <w:r>
              <w:rPr>
                <w:highlight w:val="none"/>
              </w:rPr>
              <w:t>组织将选定的识别控制措施分类为OPRP（见3.30）或CCPs。</w:t>
            </w:r>
          </w:p>
          <w:p>
            <w:pPr>
              <w:shd w:val="clear"/>
              <w:tabs>
                <w:tab w:val="right" w:pos="3119"/>
              </w:tabs>
              <w:rPr>
                <w:rFonts w:hint="eastAsia"/>
                <w:highlight w:val="none"/>
              </w:rPr>
            </w:pPr>
            <w:r>
              <w:rPr>
                <w:rFonts w:hint="eastAsia"/>
                <w:highlight w:val="none"/>
              </w:rPr>
              <w:t>最终产品危害分析：</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8"/>
              <w:gridCol w:w="2873"/>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jc w:val="center"/>
                    <w:rPr>
                      <w:bCs/>
                    </w:rPr>
                  </w:pPr>
                  <w:r>
                    <w:rPr>
                      <w:bCs/>
                      <w:lang w:val="en-GB"/>
                    </w:rPr>
                    <w:t>产品</w:t>
                  </w:r>
                  <w:r>
                    <w:rPr>
                      <w:bCs/>
                    </w:rPr>
                    <w:t>名称</w:t>
                  </w:r>
                </w:p>
              </w:tc>
              <w:tc>
                <w:tcPr>
                  <w:tcW w:w="2873" w:type="dxa"/>
                  <w:shd w:val="clear" w:color="auto" w:fill="auto"/>
                  <w:vAlign w:val="center"/>
                </w:tcPr>
                <w:p>
                  <w:pPr>
                    <w:jc w:val="center"/>
                    <w:rPr>
                      <w:bCs/>
                      <w:lang w:val="en-GB"/>
                    </w:rPr>
                  </w:pPr>
                  <w:r>
                    <w:rPr>
                      <w:bCs/>
                      <w:lang w:val="en-GB"/>
                    </w:rPr>
                    <w:t>潜在危害</w:t>
                  </w:r>
                </w:p>
              </w:tc>
              <w:tc>
                <w:tcPr>
                  <w:tcW w:w="3665" w:type="dxa"/>
                  <w:shd w:val="clear" w:color="auto" w:fill="auto"/>
                  <w:vAlign w:val="center"/>
                </w:tcPr>
                <w:p>
                  <w:pPr>
                    <w:jc w:val="center"/>
                    <w:rPr>
                      <w:bCs/>
                      <w:szCs w:val="24"/>
                      <w:lang w:val="en-GB"/>
                    </w:rPr>
                  </w:pPr>
                  <w:r>
                    <w:rPr>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autoSpaceDE w:val="0"/>
                    <w:autoSpaceDN w:val="0"/>
                    <w:adjustRightInd w:val="0"/>
                    <w:jc w:val="center"/>
                    <w:rPr>
                      <w:rFonts w:hint="default" w:ascii="Times New Roman" w:hAnsi="Times New Roman" w:eastAsia="宋体" w:cs="Times New Roman"/>
                      <w:bCs/>
                      <w:kern w:val="2"/>
                      <w:sz w:val="18"/>
                      <w:szCs w:val="18"/>
                      <w:lang w:val="en-GB" w:eastAsia="zh-CN" w:bidi="ar-SA"/>
                    </w:rPr>
                  </w:pPr>
                  <w:r>
                    <w:rPr>
                      <w:rFonts w:hint="eastAsia"/>
                      <w:bCs/>
                      <w:sz w:val="18"/>
                      <w:szCs w:val="18"/>
                      <w:lang w:val="en-US" w:eastAsia="zh-CN"/>
                    </w:rPr>
                    <w:t>山楂果糕类（片类、条类等）</w:t>
                  </w:r>
                </w:p>
              </w:tc>
              <w:tc>
                <w:tcPr>
                  <w:tcW w:w="2873" w:type="dxa"/>
                  <w:shd w:val="clear" w:color="auto" w:fill="auto"/>
                  <w:vAlign w:val="center"/>
                </w:tcPr>
                <w:p>
                  <w:pPr>
                    <w:jc w:val="center"/>
                    <w:rPr>
                      <w:bCs/>
                      <w:sz w:val="18"/>
                      <w:szCs w:val="18"/>
                      <w:lang w:val="en-GB"/>
                    </w:rPr>
                  </w:pPr>
                  <w:r>
                    <w:rPr>
                      <w:sz w:val="18"/>
                      <w:szCs w:val="18"/>
                    </w:rPr>
                    <w:sym w:font="Wingdings" w:char="00FE"/>
                  </w:r>
                  <w:r>
                    <w:rPr>
                      <w:bCs/>
                      <w:sz w:val="18"/>
                      <w:szCs w:val="18"/>
                      <w:lang w:val="en-GB"/>
                    </w:rPr>
                    <w:t>有害微生物</w:t>
                  </w:r>
                  <w:r>
                    <w:rPr>
                      <w:rFonts w:hint="eastAsia"/>
                      <w:bCs/>
                      <w:sz w:val="18"/>
                      <w:szCs w:val="18"/>
                      <w:lang w:val="en-US" w:eastAsia="zh-CN"/>
                    </w:rPr>
                    <w:t xml:space="preserve">  </w:t>
                  </w:r>
                  <w:r>
                    <w:rPr>
                      <w:bCs/>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rFonts w:hint="eastAsia"/>
                      <w:bCs/>
                      <w:sz w:val="18"/>
                      <w:szCs w:val="18"/>
                      <w:lang w:val="en-US" w:eastAsia="zh-CN"/>
                    </w:rPr>
                    <w:t xml:space="preserve">   </w:t>
                  </w:r>
                  <w:r>
                    <w:rPr>
                      <w:bCs/>
                      <w:sz w:val="18"/>
                      <w:szCs w:val="18"/>
                    </w:rPr>
                    <w:sym w:font="Wingdings" w:char="00FE"/>
                  </w:r>
                  <w:r>
                    <w:rPr>
                      <w:bCs/>
                      <w:sz w:val="18"/>
                      <w:szCs w:val="18"/>
                      <w:lang w:val="en-GB"/>
                    </w:rPr>
                    <w:t>苯并芘</w:t>
                  </w:r>
                </w:p>
                <w:p>
                  <w:pPr>
                    <w:ind w:firstLine="180" w:firstLineChars="100"/>
                    <w:rPr>
                      <w:sz w:val="18"/>
                      <w:szCs w:val="18"/>
                    </w:rPr>
                  </w:pPr>
                  <w:r>
                    <w:rPr>
                      <w:sz w:val="18"/>
                      <w:szCs w:val="18"/>
                    </w:rPr>
                    <w:sym w:font="Wingdings" w:char="00FE"/>
                  </w:r>
                  <w:r>
                    <w:rPr>
                      <w:bCs/>
                      <w:sz w:val="18"/>
                      <w:szCs w:val="18"/>
                      <w:lang w:val="en-GB"/>
                    </w:rPr>
                    <w:t>农药残留</w:t>
                  </w:r>
                  <w:r>
                    <w:rPr>
                      <w:sz w:val="18"/>
                      <w:szCs w:val="18"/>
                    </w:rPr>
                    <w:t xml:space="preserve"> </w:t>
                  </w:r>
                  <w:r>
                    <w:rPr>
                      <w:bCs/>
                      <w:sz w:val="18"/>
                      <w:szCs w:val="18"/>
                    </w:rPr>
                    <w:sym w:font="Wingdings" w:char="00A8"/>
                  </w:r>
                  <w:r>
                    <w:rPr>
                      <w:sz w:val="18"/>
                      <w:szCs w:val="18"/>
                    </w:rPr>
                    <w:t>过氧化值</w:t>
                  </w:r>
                </w:p>
                <w:p>
                  <w:pPr>
                    <w:ind w:firstLine="180" w:firstLineChars="100"/>
                    <w:rPr>
                      <w:rFonts w:hint="default" w:ascii="Times New Roman" w:hAnsi="Times New Roman" w:eastAsia="宋体" w:cs="Times New Roman"/>
                      <w:kern w:val="2"/>
                      <w:sz w:val="18"/>
                      <w:szCs w:val="18"/>
                      <w:lang w:val="en-US" w:eastAsia="zh-CN" w:bidi="ar-SA"/>
                    </w:rPr>
                  </w:pPr>
                  <w:r>
                    <w:rPr>
                      <w:bCs/>
                      <w:sz w:val="18"/>
                      <w:szCs w:val="18"/>
                    </w:rPr>
                    <w:sym w:font="Wingdings" w:char="00FE"/>
                  </w:r>
                  <w:r>
                    <w:rPr>
                      <w:rFonts w:hint="eastAsia"/>
                      <w:sz w:val="18"/>
                      <w:szCs w:val="18"/>
                      <w:lang w:val="en-US" w:eastAsia="zh-CN"/>
                    </w:rPr>
                    <w:t>二氧化硫残留量</w:t>
                  </w:r>
                </w:p>
              </w:tc>
              <w:tc>
                <w:tcPr>
                  <w:tcW w:w="3665" w:type="dxa"/>
                  <w:shd w:val="clear" w:color="auto" w:fill="auto"/>
                  <w:vAlign w:val="center"/>
                </w:tcPr>
                <w:p>
                  <w:pPr>
                    <w:jc w:val="center"/>
                    <w:rPr>
                      <w:bCs/>
                    </w:rPr>
                  </w:pPr>
                  <w:r>
                    <w:rPr/>
                    <w:sym w:font="Wingdings" w:char="00FE"/>
                  </w:r>
                  <w:r>
                    <w:rPr>
                      <w:bCs/>
                    </w:rPr>
                    <w:t>OPRP</w:t>
                  </w:r>
                </w:p>
                <w:p>
                  <w:pPr>
                    <w:jc w:val="center"/>
                    <w:rPr>
                      <w:bCs/>
                    </w:rPr>
                  </w:pPr>
                  <w:r>
                    <w:rPr/>
                    <w:sym w:font="Wingdings" w:char="00A8"/>
                  </w:r>
                  <w:r>
                    <w:rPr>
                      <w:bCs/>
                    </w:rPr>
                    <w:t>作业指导书&amp;SSOP</w:t>
                  </w:r>
                </w:p>
                <w:p>
                  <w:pPr>
                    <w:jc w:val="center"/>
                    <w:rPr>
                      <w:bCs/>
                    </w:rPr>
                  </w:pPr>
                  <w:r>
                    <w:rPr/>
                    <w:sym w:font="Wingdings" w:char="00FE"/>
                  </w:r>
                  <w:r>
                    <w:rPr>
                      <w:bCs/>
                    </w:rPr>
                    <w:t>CCPs</w:t>
                  </w:r>
                </w:p>
                <w:p>
                  <w:pPr>
                    <w:jc w:val="center"/>
                    <w:rPr>
                      <w:rFonts w:ascii="Times New Roman" w:hAnsi="Times New Roman" w:eastAsia="宋体" w:cs="Times New Roman"/>
                      <w:bCs/>
                      <w:kern w:val="2"/>
                      <w:sz w:val="21"/>
                      <w:szCs w:val="24"/>
                      <w:lang w:val="en-GB" w:eastAsia="zh-CN" w:bidi="ar-SA"/>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0" w:type="auto"/>
                  <w:vAlign w:val="center"/>
                </w:tcPr>
                <w:p>
                  <w:pPr>
                    <w:snapToGrid w:val="0"/>
                    <w:jc w:val="center"/>
                    <w:rPr>
                      <w:rFonts w:hint="eastAsia" w:ascii="Times New Roman" w:hAnsi="Times New Roman" w:eastAsia="宋体" w:cs="Times New Roman"/>
                      <w:bCs/>
                      <w:kern w:val="2"/>
                      <w:sz w:val="18"/>
                      <w:szCs w:val="18"/>
                      <w:lang w:val="en-US" w:eastAsia="zh-CN" w:bidi="ar-SA"/>
                    </w:rPr>
                  </w:pPr>
                </w:p>
              </w:tc>
              <w:tc>
                <w:tcPr>
                  <w:tcW w:w="0" w:type="auto"/>
                  <w:vAlign w:val="center"/>
                </w:tcPr>
                <w:p>
                  <w:pPr>
                    <w:jc w:val="center"/>
                    <w:rPr>
                      <w:bCs/>
                      <w:sz w:val="18"/>
                      <w:szCs w:val="18"/>
                      <w:lang w:val="en-GB"/>
                    </w:rPr>
                  </w:pPr>
                  <w:r>
                    <w:rPr>
                      <w:sz w:val="18"/>
                      <w:szCs w:val="18"/>
                    </w:rPr>
                    <w:sym w:font="Wingdings" w:char="00A8"/>
                  </w:r>
                  <w:r>
                    <w:rPr>
                      <w:bCs/>
                      <w:sz w:val="18"/>
                      <w:szCs w:val="18"/>
                      <w:lang w:val="en-GB"/>
                    </w:rPr>
                    <w:t>有害微生物</w:t>
                  </w:r>
                  <w:r>
                    <w:rPr>
                      <w:rFonts w:hint="eastAsia"/>
                      <w:bCs/>
                      <w:sz w:val="18"/>
                      <w:szCs w:val="18"/>
                      <w:lang w:val="en-US" w:eastAsia="zh-CN"/>
                    </w:rPr>
                    <w:t xml:space="preserve">  </w:t>
                  </w:r>
                  <w:r>
                    <w:rPr>
                      <w:bCs/>
                      <w:sz w:val="18"/>
                      <w:szCs w:val="18"/>
                    </w:rPr>
                    <w:sym w:font="Wingdings" w:char="00A8"/>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rFonts w:hint="eastAsia"/>
                      <w:bCs/>
                      <w:sz w:val="18"/>
                      <w:szCs w:val="18"/>
                      <w:lang w:val="en-US" w:eastAsia="zh-CN"/>
                    </w:rPr>
                    <w:t xml:space="preserve">   </w:t>
                  </w:r>
                  <w:r>
                    <w:rPr>
                      <w:bCs/>
                      <w:sz w:val="18"/>
                      <w:szCs w:val="18"/>
                    </w:rPr>
                    <w:sym w:font="Wingdings" w:char="00A8"/>
                  </w:r>
                  <w:r>
                    <w:rPr>
                      <w:bCs/>
                      <w:sz w:val="18"/>
                      <w:szCs w:val="18"/>
                      <w:lang w:val="en-GB"/>
                    </w:rPr>
                    <w:t>苯并芘、</w:t>
                  </w:r>
                </w:p>
                <w:p>
                  <w:pPr>
                    <w:jc w:val="center"/>
                    <w:rPr>
                      <w:rFonts w:ascii="Times New Roman" w:hAnsi="Times New Roman" w:eastAsia="宋体" w:cs="Times New Roman"/>
                      <w:kern w:val="2"/>
                      <w:sz w:val="18"/>
                      <w:szCs w:val="18"/>
                      <w:lang w:val="en-US" w:eastAsia="zh-CN" w:bidi="ar-SA"/>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A8"/>
                  </w:r>
                  <w:r>
                    <w:rPr>
                      <w:bCs/>
                      <w:sz w:val="18"/>
                      <w:szCs w:val="18"/>
                    </w:rPr>
                    <w:t>兽</w:t>
                  </w:r>
                  <w:r>
                    <w:rPr>
                      <w:bCs/>
                      <w:sz w:val="18"/>
                      <w:szCs w:val="18"/>
                      <w:lang w:val="en-GB"/>
                    </w:rPr>
                    <w:t>药残留</w:t>
                  </w:r>
                </w:p>
              </w:tc>
              <w:tc>
                <w:tcPr>
                  <w:tcW w:w="0" w:type="auto"/>
                </w:tcPr>
                <w:p>
                  <w:pPr>
                    <w:jc w:val="center"/>
                    <w:rPr>
                      <w:bCs/>
                    </w:rPr>
                  </w:pPr>
                  <w:r>
                    <w:rPr/>
                    <w:sym w:font="Wingdings" w:char="00A8"/>
                  </w:r>
                  <w:r>
                    <w:rPr>
                      <w:bCs/>
                    </w:rPr>
                    <w:t>OPRP</w:t>
                  </w:r>
                </w:p>
                <w:p>
                  <w:pPr>
                    <w:jc w:val="center"/>
                    <w:rPr>
                      <w:bCs/>
                    </w:rPr>
                  </w:pPr>
                  <w:r>
                    <w:rPr/>
                    <w:sym w:font="Wingdings" w:char="00A8"/>
                  </w:r>
                  <w:r>
                    <w:rPr>
                      <w:bCs/>
                    </w:rPr>
                    <w:t>CCPs</w:t>
                  </w:r>
                </w:p>
                <w:p>
                  <w:pPr>
                    <w:jc w:val="center"/>
                    <w:rPr>
                      <w:bCs/>
                    </w:rPr>
                  </w:pPr>
                  <w:r>
                    <w:rPr/>
                    <w:sym w:font="Wingdings" w:char="00A8"/>
                  </w:r>
                  <w:r>
                    <w:rPr>
                      <w:bCs/>
                    </w:rPr>
                    <w:t>作业指导书&amp;SSOP</w:t>
                  </w:r>
                </w:p>
                <w:p>
                  <w:pPr>
                    <w:jc w:val="center"/>
                    <w:rPr>
                      <w:bCs/>
                    </w:rPr>
                  </w:pPr>
                  <w:r>
                    <w:rPr>
                      <w:bCs/>
                    </w:rPr>
                    <w:sym w:font="Wingdings" w:char="00A8"/>
                  </w:r>
                  <w:r>
                    <w:rPr>
                      <w:bCs/>
                    </w:rPr>
                    <w:t>OPRP &amp;CCPs</w:t>
                  </w:r>
                </w:p>
              </w:tc>
            </w:tr>
          </w:tbl>
          <w:p>
            <w:pPr>
              <w:shd w:val="clear"/>
              <w:tabs>
                <w:tab w:val="right" w:pos="3119"/>
              </w:tabs>
              <w:rPr>
                <w:highlight w:val="yellow"/>
                <w:lang w:val="en-GB"/>
              </w:rPr>
            </w:pPr>
          </w:p>
          <w:p>
            <w:pPr>
              <w:shd w:val="clear"/>
              <w:tabs>
                <w:tab w:val="right" w:pos="3119"/>
              </w:tabs>
              <w:rPr>
                <w:rFonts w:hint="eastAsia"/>
                <w:highlight w:val="yellow"/>
                <w:lang w:val="en-GB"/>
              </w:rPr>
            </w:pPr>
            <w:r>
              <w:rPr>
                <w:rFonts w:hint="eastAsia"/>
                <w:highlight w:val="none"/>
                <w:lang w:val="en-GB"/>
              </w:rPr>
              <w:t>原辅材料</w:t>
            </w:r>
            <w:r>
              <w:rPr>
                <w:rFonts w:hint="eastAsia"/>
                <w:highlight w:val="none"/>
              </w:rPr>
              <w:t>危害分析</w:t>
            </w:r>
            <w:r>
              <w:rPr>
                <w:rFonts w:hint="eastAsia"/>
                <w:highlight w:val="none"/>
                <w:lang w:val="en-GB"/>
              </w:rPr>
              <w:t>：</w:t>
            </w:r>
          </w:p>
          <w:tbl>
            <w:tblPr>
              <w:tblStyle w:val="11"/>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5"/>
              <w:gridCol w:w="3136"/>
              <w:gridCol w:w="3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vAlign w:val="center"/>
                </w:tcPr>
                <w:p>
                  <w:pPr>
                    <w:jc w:val="center"/>
                    <w:rPr>
                      <w:bCs/>
                      <w:sz w:val="18"/>
                      <w:szCs w:val="18"/>
                    </w:rPr>
                  </w:pPr>
                  <w:r>
                    <w:rPr>
                      <w:bCs/>
                      <w:sz w:val="18"/>
                      <w:szCs w:val="18"/>
                    </w:rPr>
                    <w:t>主要原料名称</w:t>
                  </w:r>
                </w:p>
              </w:tc>
              <w:tc>
                <w:tcPr>
                  <w:tcW w:w="3136" w:type="dxa"/>
                  <w:shd w:val="clear" w:color="auto" w:fill="auto"/>
                  <w:vAlign w:val="center"/>
                </w:tcPr>
                <w:p>
                  <w:pPr>
                    <w:jc w:val="center"/>
                    <w:rPr>
                      <w:bCs/>
                      <w:sz w:val="18"/>
                      <w:szCs w:val="18"/>
                    </w:rPr>
                  </w:pPr>
                  <w:r>
                    <w:rPr>
                      <w:bCs/>
                      <w:sz w:val="18"/>
                      <w:szCs w:val="18"/>
                    </w:rPr>
                    <w:t>潜在危害</w:t>
                  </w:r>
                </w:p>
              </w:tc>
              <w:tc>
                <w:tcPr>
                  <w:tcW w:w="3245" w:type="dxa"/>
                  <w:shd w:val="clear" w:color="auto" w:fill="auto"/>
                  <w:vAlign w:val="center"/>
                </w:tcPr>
                <w:p>
                  <w:pPr>
                    <w:jc w:val="center"/>
                    <w:rPr>
                      <w:bCs/>
                      <w:sz w:val="18"/>
                      <w:szCs w:val="18"/>
                    </w:rPr>
                  </w:pPr>
                  <w:r>
                    <w:rPr>
                      <w:bCs/>
                      <w:sz w:val="18"/>
                      <w:szCs w:val="18"/>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05" w:type="dxa"/>
                  <w:shd w:val="clear" w:color="auto" w:fill="auto"/>
                  <w:vAlign w:val="center"/>
                </w:tcPr>
                <w:p>
                  <w:pPr>
                    <w:autoSpaceDE w:val="0"/>
                    <w:autoSpaceDN w:val="0"/>
                    <w:adjustRightInd w:val="0"/>
                    <w:jc w:val="center"/>
                    <w:rPr>
                      <w:rFonts w:hint="eastAsia" w:eastAsia="宋体"/>
                      <w:bCs/>
                      <w:sz w:val="18"/>
                      <w:szCs w:val="18"/>
                      <w:lang w:val="en-US" w:eastAsia="zh-CN"/>
                    </w:rPr>
                  </w:pPr>
                  <w:r>
                    <w:rPr>
                      <w:rFonts w:hint="eastAsia"/>
                      <w:bCs/>
                      <w:sz w:val="18"/>
                      <w:szCs w:val="18"/>
                      <w:lang w:val="en-US" w:eastAsia="zh-CN"/>
                    </w:rPr>
                    <w:t>山楂</w:t>
                  </w:r>
                </w:p>
              </w:tc>
              <w:tc>
                <w:tcPr>
                  <w:tcW w:w="3136" w:type="dxa"/>
                  <w:shd w:val="clear" w:color="auto" w:fill="auto"/>
                  <w:vAlign w:val="center"/>
                </w:tcPr>
                <w:p>
                  <w:pPr>
                    <w:jc w:val="center"/>
                    <w:rPr>
                      <w:bCs/>
                      <w:sz w:val="18"/>
                      <w:szCs w:val="18"/>
                      <w:lang w:val="en-GB"/>
                    </w:rPr>
                  </w:pPr>
                  <w:r>
                    <w:rPr>
                      <w:sz w:val="18"/>
                      <w:szCs w:val="18"/>
                    </w:rPr>
                    <w:sym w:font="Wingdings" w:char="00A8"/>
                  </w:r>
                  <w:r>
                    <w:rPr>
                      <w:bCs/>
                      <w:sz w:val="18"/>
                      <w:szCs w:val="18"/>
                      <w:lang w:val="en-GB"/>
                    </w:rPr>
                    <w:t>有害微生物</w:t>
                  </w:r>
                  <w:r>
                    <w:rPr>
                      <w:rFonts w:hint="eastAsia"/>
                      <w:bCs/>
                      <w:sz w:val="18"/>
                      <w:szCs w:val="18"/>
                      <w:lang w:val="en-US" w:eastAsia="zh-CN"/>
                    </w:rPr>
                    <w:t xml:space="preserve">  </w:t>
                  </w:r>
                  <w:r>
                    <w:rPr>
                      <w:bCs/>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rFonts w:hint="eastAsia"/>
                      <w:bCs/>
                      <w:sz w:val="18"/>
                      <w:szCs w:val="18"/>
                      <w:lang w:val="en-US" w:eastAsia="zh-CN"/>
                    </w:rPr>
                    <w:t xml:space="preserve">   </w:t>
                  </w:r>
                  <w:r>
                    <w:rPr>
                      <w:bCs/>
                      <w:sz w:val="18"/>
                      <w:szCs w:val="18"/>
                    </w:rPr>
                    <w:sym w:font="Wingdings" w:char="00A8"/>
                  </w:r>
                  <w:r>
                    <w:rPr>
                      <w:bCs/>
                      <w:sz w:val="18"/>
                      <w:szCs w:val="18"/>
                      <w:lang w:val="en-GB"/>
                    </w:rPr>
                    <w:t>苯并芘</w:t>
                  </w:r>
                </w:p>
                <w:p>
                  <w:pPr>
                    <w:jc w:val="center"/>
                    <w:rPr>
                      <w:sz w:val="18"/>
                      <w:szCs w:val="18"/>
                    </w:rPr>
                  </w:pPr>
                  <w:r>
                    <w:rPr>
                      <w:bCs/>
                      <w:sz w:val="18"/>
                      <w:szCs w:val="18"/>
                    </w:rPr>
                    <w:sym w:font="Wingdings" w:char="00FE"/>
                  </w:r>
                  <w:r>
                    <w:rPr>
                      <w:bCs/>
                      <w:sz w:val="18"/>
                      <w:szCs w:val="18"/>
                      <w:lang w:val="en-GB"/>
                    </w:rPr>
                    <w:t>农药残留</w:t>
                  </w:r>
                  <w:r>
                    <w:rPr>
                      <w:bCs/>
                      <w:sz w:val="18"/>
                      <w:szCs w:val="18"/>
                    </w:rPr>
                    <w:t xml:space="preserve"> </w:t>
                  </w:r>
                  <w:r>
                    <w:rPr>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pPr>
                    <w:autoSpaceDE w:val="0"/>
                    <w:autoSpaceDN w:val="0"/>
                    <w:adjustRightInd w:val="0"/>
                    <w:jc w:val="center"/>
                    <w:rPr>
                      <w:sz w:val="18"/>
                      <w:szCs w:val="18"/>
                    </w:rPr>
                  </w:pPr>
                  <w:r>
                    <w:rPr>
                      <w:sz w:val="18"/>
                      <w:szCs w:val="18"/>
                    </w:rPr>
                    <w:sym w:font="Wingdings" w:char="00A8"/>
                  </w:r>
                  <w:r>
                    <w:rPr>
                      <w:bCs/>
                      <w:sz w:val="18"/>
                      <w:szCs w:val="18"/>
                    </w:rPr>
                    <w:t>向供方索取检测报告</w:t>
                  </w:r>
                </w:p>
                <w:p>
                  <w:pPr>
                    <w:autoSpaceDE w:val="0"/>
                    <w:autoSpaceDN w:val="0"/>
                    <w:adjustRightInd w:val="0"/>
                    <w:jc w:val="center"/>
                    <w:rPr>
                      <w:bCs/>
                      <w:sz w:val="18"/>
                      <w:szCs w:val="18"/>
                    </w:rPr>
                  </w:pPr>
                  <w:r>
                    <w:rPr>
                      <w:bCs/>
                      <w:sz w:val="18"/>
                      <w:szCs w:val="18"/>
                    </w:rPr>
                    <w:sym w:font="Wingdings" w:char="00FE"/>
                  </w:r>
                  <w:r>
                    <w:rPr>
                      <w:bCs/>
                      <w:sz w:val="18"/>
                      <w:szCs w:val="18"/>
                    </w:rPr>
                    <w:t>企业自行检测</w:t>
                  </w:r>
                </w:p>
                <w:p>
                  <w:pPr>
                    <w:autoSpaceDE w:val="0"/>
                    <w:autoSpaceDN w:val="0"/>
                    <w:adjustRightInd w:val="0"/>
                    <w:jc w:val="center"/>
                    <w:rPr>
                      <w:bCs/>
                      <w:color w:val="FF0000"/>
                      <w:sz w:val="18"/>
                      <w:szCs w:val="18"/>
                    </w:rPr>
                  </w:pPr>
                  <w:r>
                    <w:rPr>
                      <w:bCs/>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center"/>
                </w:tcPr>
                <w:p>
                  <w:pPr>
                    <w:autoSpaceDE w:val="0"/>
                    <w:autoSpaceDN w:val="0"/>
                    <w:adjustRightInd w:val="0"/>
                    <w:jc w:val="center"/>
                    <w:rPr>
                      <w:rFonts w:hint="default"/>
                      <w:bCs/>
                      <w:sz w:val="18"/>
                      <w:szCs w:val="18"/>
                      <w:lang w:val="en-US"/>
                    </w:rPr>
                  </w:pPr>
                  <w:r>
                    <w:rPr>
                      <w:rFonts w:hint="eastAsia"/>
                      <w:bCs/>
                      <w:sz w:val="18"/>
                      <w:szCs w:val="18"/>
                      <w:lang w:val="en-US" w:eastAsia="zh-CN"/>
                    </w:rPr>
                    <w:t>白砂糖、麦芽糖浆</w:t>
                  </w:r>
                </w:p>
              </w:tc>
              <w:tc>
                <w:tcPr>
                  <w:tcW w:w="3136" w:type="dxa"/>
                  <w:shd w:val="clear" w:color="auto" w:fill="auto"/>
                  <w:vAlign w:val="center"/>
                </w:tcPr>
                <w:p>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rPr>
                      <w:bCs/>
                      <w:sz w:val="18"/>
                      <w:szCs w:val="18"/>
                      <w:lang w:val="en-GB"/>
                    </w:rPr>
                  </w:pPr>
                  <w:r>
                    <w:rPr>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苯并芘</w:t>
                  </w:r>
                </w:p>
                <w:p>
                  <w:pPr>
                    <w:jc w:val="center"/>
                    <w:rPr>
                      <w:rFonts w:hint="eastAsia" w:eastAsia="宋体"/>
                      <w:bCs/>
                      <w:sz w:val="18"/>
                      <w:szCs w:val="18"/>
                      <w:lang w:val="en-US" w:eastAsia="zh-CN"/>
                    </w:rPr>
                  </w:pPr>
                  <w:r>
                    <w:rPr>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rFonts w:hint="eastAsia"/>
                      <w:bCs/>
                      <w:sz w:val="18"/>
                      <w:szCs w:val="18"/>
                      <w:lang w:val="en-US" w:eastAsia="zh-CN"/>
                    </w:rPr>
                    <w:t>螨</w:t>
                  </w:r>
                </w:p>
              </w:tc>
              <w:tc>
                <w:tcPr>
                  <w:tcW w:w="3245"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autoSpaceDE w:val="0"/>
                    <w:autoSpaceDN w:val="0"/>
                    <w:adjustRightInd w:val="0"/>
                    <w:jc w:val="center"/>
                    <w:rPr>
                      <w:rFonts w:hint="eastAsia" w:eastAsia="宋体"/>
                      <w:bCs/>
                      <w:sz w:val="18"/>
                      <w:szCs w:val="18"/>
                      <w:lang w:eastAsia="zh-CN"/>
                    </w:rPr>
                  </w:pPr>
                  <w:r>
                    <w:rPr>
                      <w:bCs/>
                      <w:sz w:val="18"/>
                      <w:szCs w:val="18"/>
                    </w:rPr>
                    <w:sym w:font="Wingdings" w:char="00A8"/>
                  </w:r>
                  <w:r>
                    <w:rPr>
                      <w:bCs/>
                      <w:sz w:val="18"/>
                      <w:szCs w:val="18"/>
                    </w:rPr>
                    <w:t>企业自行检测</w:t>
                  </w:r>
                </w:p>
                <w:p>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vAlign w:val="center"/>
                </w:tcPr>
                <w:p>
                  <w:pPr>
                    <w:snapToGrid w:val="0"/>
                    <w:jc w:val="center"/>
                    <w:rPr>
                      <w:rFonts w:hint="default" w:eastAsia="宋体"/>
                      <w:bCs/>
                      <w:sz w:val="18"/>
                      <w:szCs w:val="18"/>
                      <w:lang w:val="en-US" w:eastAsia="zh-CN"/>
                    </w:rPr>
                  </w:pPr>
                  <w:r>
                    <w:rPr>
                      <w:rFonts w:hint="eastAsia"/>
                      <w:bCs/>
                      <w:sz w:val="18"/>
                      <w:szCs w:val="18"/>
                      <w:lang w:val="en-US" w:eastAsia="zh-CN"/>
                    </w:rPr>
                    <w:t>柠檬酸、胭脂红、焦亚硫酸钠等食品添加剂</w:t>
                  </w:r>
                </w:p>
              </w:tc>
              <w:tc>
                <w:tcPr>
                  <w:tcW w:w="3136" w:type="dxa"/>
                  <w:shd w:val="clear" w:color="auto" w:fill="auto"/>
                  <w:vAlign w:val="center"/>
                </w:tcPr>
                <w:p>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 xml:space="preserve">黄曲霉毒素 </w:t>
                  </w:r>
                  <w:r>
                    <w:rPr>
                      <w:bCs/>
                      <w:sz w:val="18"/>
                      <w:szCs w:val="18"/>
                    </w:rPr>
                    <w:sym w:font="Wingdings" w:char="00A8"/>
                  </w:r>
                  <w:r>
                    <w:rPr>
                      <w:bCs/>
                      <w:sz w:val="18"/>
                      <w:szCs w:val="18"/>
                      <w:lang w:val="en-GB"/>
                    </w:rPr>
                    <w:t>苯并芘</w:t>
                  </w:r>
                </w:p>
                <w:p>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pPr>
                    <w:jc w:val="center"/>
                    <w:rPr>
                      <w:bCs/>
                      <w:sz w:val="18"/>
                      <w:szCs w:val="18"/>
                      <w:lang w:val="en-GB"/>
                    </w:rPr>
                  </w:pPr>
                  <w:r>
                    <w:rPr>
                      <w:sz w:val="18"/>
                      <w:szCs w:val="18"/>
                    </w:rPr>
                    <w:sym w:font="Wingdings" w:char="00A8"/>
                  </w:r>
                  <w:r>
                    <w:rPr>
                      <w:sz w:val="18"/>
                      <w:szCs w:val="18"/>
                    </w:rPr>
                    <w:t>溶剂残留</w:t>
                  </w:r>
                </w:p>
              </w:tc>
              <w:tc>
                <w:tcPr>
                  <w:tcW w:w="3245"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autoSpaceDE w:val="0"/>
                    <w:autoSpaceDN w:val="0"/>
                    <w:adjustRightInd w:val="0"/>
                    <w:jc w:val="center"/>
                    <w:rPr>
                      <w:bCs/>
                      <w:sz w:val="18"/>
                      <w:szCs w:val="18"/>
                    </w:rPr>
                  </w:pPr>
                  <w:r>
                    <w:rPr>
                      <w:bCs/>
                      <w:sz w:val="18"/>
                      <w:szCs w:val="18"/>
                    </w:rPr>
                    <w:sym w:font="Wingdings" w:char="00A8"/>
                  </w:r>
                  <w:r>
                    <w:rPr>
                      <w:bCs/>
                      <w:sz w:val="18"/>
                      <w:szCs w:val="18"/>
                    </w:rPr>
                    <w:t>企业自行检测</w:t>
                  </w:r>
                </w:p>
                <w:p>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vAlign w:val="center"/>
                </w:tcPr>
                <w:p>
                  <w:pPr>
                    <w:snapToGrid w:val="0"/>
                    <w:jc w:val="center"/>
                    <w:rPr>
                      <w:bCs/>
                      <w:sz w:val="18"/>
                      <w:szCs w:val="18"/>
                    </w:rPr>
                  </w:pPr>
                  <w:r>
                    <w:rPr>
                      <w:bCs/>
                      <w:sz w:val="18"/>
                      <w:szCs w:val="18"/>
                    </w:rPr>
                    <w:t>塑料袋</w:t>
                  </w:r>
                </w:p>
              </w:tc>
              <w:tc>
                <w:tcPr>
                  <w:tcW w:w="3136" w:type="dxa"/>
                  <w:shd w:val="clear" w:color="auto" w:fill="auto"/>
                  <w:vAlign w:val="center"/>
                </w:tcPr>
                <w:p>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 xml:space="preserve">黄曲霉毒素 </w:t>
                  </w:r>
                  <w:r>
                    <w:rPr>
                      <w:bCs/>
                      <w:sz w:val="18"/>
                      <w:szCs w:val="18"/>
                    </w:rPr>
                    <w:sym w:font="Wingdings" w:char="00A8"/>
                  </w:r>
                  <w:r>
                    <w:rPr>
                      <w:bCs/>
                      <w:sz w:val="18"/>
                      <w:szCs w:val="18"/>
                      <w:lang w:val="en-GB"/>
                    </w:rPr>
                    <w:t>苯并芘</w:t>
                  </w:r>
                </w:p>
                <w:p>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pPr>
                    <w:jc w:val="center"/>
                    <w:rPr>
                      <w:bCs/>
                      <w:sz w:val="18"/>
                      <w:szCs w:val="18"/>
                      <w:lang w:val="en-GB"/>
                    </w:rPr>
                  </w:pPr>
                  <w:r>
                    <w:rPr>
                      <w:bCs/>
                      <w:sz w:val="18"/>
                      <w:szCs w:val="18"/>
                    </w:rPr>
                    <w:sym w:font="Wingdings" w:char="00FE"/>
                  </w:r>
                  <w:r>
                    <w:rPr>
                      <w:sz w:val="18"/>
                      <w:szCs w:val="18"/>
                    </w:rPr>
                    <w:t>溶剂残留</w:t>
                  </w:r>
                </w:p>
              </w:tc>
              <w:tc>
                <w:tcPr>
                  <w:tcW w:w="3245"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autoSpaceDE w:val="0"/>
                    <w:autoSpaceDN w:val="0"/>
                    <w:adjustRightInd w:val="0"/>
                    <w:jc w:val="center"/>
                    <w:rPr>
                      <w:bCs/>
                      <w:sz w:val="18"/>
                      <w:szCs w:val="18"/>
                    </w:rPr>
                  </w:pPr>
                  <w:r>
                    <w:rPr>
                      <w:bCs/>
                      <w:sz w:val="18"/>
                      <w:szCs w:val="18"/>
                    </w:rPr>
                    <w:sym w:font="Wingdings" w:char="00A8"/>
                  </w:r>
                  <w:r>
                    <w:rPr>
                      <w:bCs/>
                      <w:sz w:val="18"/>
                      <w:szCs w:val="18"/>
                    </w:rPr>
                    <w:t>企业自行检测</w:t>
                  </w:r>
                </w:p>
                <w:p>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vAlign w:val="center"/>
                </w:tcPr>
                <w:p>
                  <w:pPr>
                    <w:snapToGrid w:val="0"/>
                    <w:jc w:val="center"/>
                    <w:rPr>
                      <w:rFonts w:hint="default" w:eastAsia="宋体"/>
                      <w:bCs/>
                      <w:sz w:val="18"/>
                      <w:szCs w:val="18"/>
                      <w:lang w:val="en-US" w:eastAsia="zh-CN"/>
                    </w:rPr>
                  </w:pPr>
                  <w:r>
                    <w:rPr>
                      <w:rFonts w:hint="eastAsia"/>
                      <w:bCs/>
                      <w:sz w:val="18"/>
                      <w:szCs w:val="18"/>
                      <w:lang w:val="en-US" w:eastAsia="zh-CN"/>
                    </w:rPr>
                    <w:t>生产加工用水</w:t>
                  </w:r>
                </w:p>
              </w:tc>
              <w:tc>
                <w:tcPr>
                  <w:tcW w:w="3136" w:type="dxa"/>
                  <w:shd w:val="clear" w:color="auto" w:fill="auto"/>
                  <w:vAlign w:val="center"/>
                </w:tcPr>
                <w:p>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 xml:space="preserve">黄曲霉毒素 </w:t>
                  </w:r>
                  <w:r>
                    <w:rPr>
                      <w:bCs/>
                      <w:sz w:val="18"/>
                      <w:szCs w:val="18"/>
                    </w:rPr>
                    <w:sym w:font="Wingdings" w:char="00A8"/>
                  </w:r>
                  <w:r>
                    <w:rPr>
                      <w:bCs/>
                      <w:sz w:val="18"/>
                      <w:szCs w:val="18"/>
                      <w:lang w:val="en-GB"/>
                    </w:rPr>
                    <w:t>苯并芘</w:t>
                  </w:r>
                </w:p>
                <w:p>
                  <w:pPr>
                    <w:jc w:val="center"/>
                    <w:rPr>
                      <w:rFonts w:ascii="Times New Roman" w:hAnsi="Times New Roman" w:eastAsia="宋体" w:cs="Times New Roman"/>
                      <w:bCs/>
                      <w:kern w:val="2"/>
                      <w:sz w:val="18"/>
                      <w:szCs w:val="18"/>
                      <w:lang w:val="en-GB" w:eastAsia="zh-CN" w:bidi="ar-SA"/>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pPr>
                    <w:autoSpaceDE w:val="0"/>
                    <w:autoSpaceDN w:val="0"/>
                    <w:adjustRightInd w:val="0"/>
                    <w:jc w:val="center"/>
                    <w:rPr>
                      <w:bCs/>
                      <w:sz w:val="18"/>
                      <w:szCs w:val="18"/>
                    </w:rPr>
                  </w:pPr>
                  <w:r>
                    <w:rPr>
                      <w:sz w:val="18"/>
                      <w:szCs w:val="18"/>
                    </w:rPr>
                    <w:sym w:font="Wingdings" w:char="00A8"/>
                  </w:r>
                  <w:r>
                    <w:rPr>
                      <w:bCs/>
                      <w:sz w:val="18"/>
                      <w:szCs w:val="18"/>
                    </w:rPr>
                    <w:t>向供方索取检测报告</w:t>
                  </w:r>
                </w:p>
                <w:p>
                  <w:pPr>
                    <w:autoSpaceDE w:val="0"/>
                    <w:autoSpaceDN w:val="0"/>
                    <w:adjustRightInd w:val="0"/>
                    <w:jc w:val="center"/>
                    <w:rPr>
                      <w:bCs/>
                      <w:sz w:val="18"/>
                      <w:szCs w:val="18"/>
                    </w:rPr>
                  </w:pPr>
                  <w:r>
                    <w:rPr>
                      <w:bCs/>
                      <w:sz w:val="18"/>
                      <w:szCs w:val="18"/>
                    </w:rPr>
                    <w:sym w:font="Wingdings" w:char="00A8"/>
                  </w:r>
                  <w:r>
                    <w:rPr>
                      <w:bCs/>
                      <w:sz w:val="18"/>
                      <w:szCs w:val="18"/>
                    </w:rPr>
                    <w:t>企业自行检测</w:t>
                  </w:r>
                </w:p>
                <w:p>
                  <w:pPr>
                    <w:autoSpaceDE w:val="0"/>
                    <w:autoSpaceDN w:val="0"/>
                    <w:adjustRightInd w:val="0"/>
                    <w:jc w:val="center"/>
                    <w:rPr>
                      <w:rFonts w:hint="eastAsia" w:ascii="Times New Roman" w:hAnsi="Times New Roman" w:eastAsia="宋体" w:cs="Times New Roman"/>
                      <w:bCs/>
                      <w:kern w:val="2"/>
                      <w:sz w:val="18"/>
                      <w:szCs w:val="18"/>
                      <w:lang w:val="en-US" w:eastAsia="zh-CN" w:bidi="ar-SA"/>
                    </w:rPr>
                  </w:pPr>
                  <w:r>
                    <w:rPr>
                      <w:sz w:val="18"/>
                      <w:szCs w:val="18"/>
                    </w:rPr>
                    <w:sym w:font="Wingdings" w:char="00FE"/>
                  </w:r>
                  <w:r>
                    <w:rPr>
                      <w:bCs/>
                      <w:sz w:val="18"/>
                      <w:szCs w:val="18"/>
                    </w:rPr>
                    <w:t>第三方检测报告</w:t>
                  </w:r>
                  <w:r>
                    <w:rPr>
                      <w:rFonts w:hint="eastAsia"/>
                      <w:bCs/>
                      <w:sz w:val="18"/>
                      <w:szCs w:val="18"/>
                      <w:lang w:eastAsia="zh-CN"/>
                    </w:rPr>
                    <w:t>【</w:t>
                  </w:r>
                  <w:r>
                    <w:rPr>
                      <w:rFonts w:hint="eastAsia"/>
                      <w:bCs/>
                      <w:sz w:val="18"/>
                      <w:szCs w:val="18"/>
                      <w:lang w:val="en-US" w:eastAsia="zh-CN"/>
                    </w:rPr>
                    <w:t>每年委托检测1次</w:t>
                  </w:r>
                  <w:r>
                    <w:rPr>
                      <w:rFonts w:hint="eastAsia"/>
                      <w:bCs/>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vAlign w:val="center"/>
                </w:tcPr>
                <w:p>
                  <w:pPr>
                    <w:snapToGrid w:val="0"/>
                    <w:jc w:val="center"/>
                    <w:rPr>
                      <w:rFonts w:hint="default"/>
                      <w:bCs/>
                      <w:sz w:val="18"/>
                      <w:szCs w:val="18"/>
                      <w:lang w:val="en-US" w:eastAsia="zh-CN"/>
                    </w:rPr>
                  </w:pPr>
                  <w:r>
                    <w:rPr>
                      <w:rFonts w:hint="eastAsia"/>
                      <w:bCs/>
                      <w:sz w:val="18"/>
                      <w:szCs w:val="18"/>
                      <w:lang w:val="en-US" w:eastAsia="zh-CN"/>
                    </w:rPr>
                    <w:t>不锈钢工器具、塑料周转筐等</w:t>
                  </w:r>
                </w:p>
              </w:tc>
              <w:tc>
                <w:tcPr>
                  <w:tcW w:w="3136" w:type="dxa"/>
                  <w:shd w:val="clear" w:color="auto" w:fill="auto"/>
                  <w:vAlign w:val="center"/>
                </w:tcPr>
                <w:p>
                  <w:pPr>
                    <w:jc w:val="center"/>
                    <w:rPr>
                      <w:bCs/>
                      <w:sz w:val="18"/>
                      <w:szCs w:val="18"/>
                      <w:lang w:val="en-GB"/>
                    </w:rPr>
                  </w:pPr>
                  <w:r>
                    <w:rPr>
                      <w:sz w:val="18"/>
                      <w:szCs w:val="18"/>
                    </w:rPr>
                    <w:sym w:font="Wingdings" w:char="00FE"/>
                  </w:r>
                  <w:r>
                    <w:rPr>
                      <w:bCs/>
                      <w:sz w:val="18"/>
                      <w:szCs w:val="18"/>
                      <w:lang w:val="en-GB"/>
                    </w:rPr>
                    <w:t>有害微生物</w:t>
                  </w:r>
                  <w:r>
                    <w:rPr>
                      <w:rFonts w:hint="eastAsia"/>
                      <w:bCs/>
                      <w:sz w:val="18"/>
                      <w:szCs w:val="18"/>
                      <w:lang w:val="en-US" w:eastAsia="zh-CN"/>
                    </w:rPr>
                    <w:t xml:space="preserve">  </w:t>
                  </w:r>
                  <w:r>
                    <w:rPr>
                      <w:bCs/>
                      <w:sz w:val="18"/>
                      <w:szCs w:val="18"/>
                    </w:rPr>
                    <w:sym w:font="Wingdings" w:char="00A8"/>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rFonts w:hint="eastAsia"/>
                      <w:bCs/>
                      <w:sz w:val="18"/>
                      <w:szCs w:val="18"/>
                      <w:lang w:val="en-US" w:eastAsia="zh-CN"/>
                    </w:rPr>
                    <w:t xml:space="preserve">   </w:t>
                  </w:r>
                  <w:r>
                    <w:rPr>
                      <w:bCs/>
                      <w:sz w:val="18"/>
                      <w:szCs w:val="18"/>
                    </w:rPr>
                    <w:sym w:font="Wingdings" w:char="00A8"/>
                  </w:r>
                  <w:r>
                    <w:rPr>
                      <w:bCs/>
                      <w:sz w:val="18"/>
                      <w:szCs w:val="18"/>
                      <w:lang w:val="en-GB"/>
                    </w:rPr>
                    <w:t>苯并芘、</w:t>
                  </w:r>
                </w:p>
                <w:p>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A8"/>
                  </w:r>
                  <w:r>
                    <w:rPr>
                      <w:bCs/>
                      <w:sz w:val="18"/>
                      <w:szCs w:val="18"/>
                    </w:rPr>
                    <w:t>兽</w:t>
                  </w:r>
                  <w:r>
                    <w:rPr>
                      <w:bCs/>
                      <w:sz w:val="18"/>
                      <w:szCs w:val="18"/>
                      <w:lang w:val="en-GB"/>
                    </w:rPr>
                    <w:t>药残留</w:t>
                  </w:r>
                </w:p>
                <w:p>
                  <w:pPr>
                    <w:ind w:firstLine="180" w:firstLineChars="100"/>
                    <w:rPr>
                      <w:rFonts w:ascii="Times New Roman" w:hAnsi="Times New Roman" w:eastAsia="宋体" w:cs="Times New Roman"/>
                      <w:kern w:val="2"/>
                      <w:sz w:val="18"/>
                      <w:szCs w:val="18"/>
                      <w:lang w:val="en-US" w:eastAsia="zh-CN" w:bidi="ar-SA"/>
                    </w:rPr>
                  </w:pPr>
                  <w:r>
                    <w:rPr>
                      <w:sz w:val="18"/>
                      <w:szCs w:val="18"/>
                    </w:rPr>
                    <w:sym w:font="Wingdings" w:char="00A8"/>
                  </w:r>
                  <w:r>
                    <w:rPr>
                      <w:bCs/>
                      <w:sz w:val="18"/>
                      <w:szCs w:val="18"/>
                      <w:lang w:val="en-GB"/>
                    </w:rPr>
                    <w:t>农药残留</w:t>
                  </w:r>
                  <w:r>
                    <w:rPr>
                      <w:bCs/>
                      <w:sz w:val="18"/>
                      <w:szCs w:val="18"/>
                    </w:rPr>
                    <w:sym w:font="Wingdings" w:char="00A8"/>
                  </w:r>
                  <w:r>
                    <w:rPr>
                      <w:sz w:val="18"/>
                      <w:szCs w:val="18"/>
                    </w:rPr>
                    <w:t xml:space="preserve">酸价   </w:t>
                  </w:r>
                  <w:r>
                    <w:rPr>
                      <w:bCs/>
                      <w:sz w:val="18"/>
                      <w:szCs w:val="18"/>
                    </w:rPr>
                    <w:sym w:font="Wingdings" w:char="00A8"/>
                  </w:r>
                  <w:r>
                    <w:rPr>
                      <w:sz w:val="18"/>
                      <w:szCs w:val="18"/>
                    </w:rPr>
                    <w:t>过氧化值</w:t>
                  </w:r>
                </w:p>
              </w:tc>
              <w:tc>
                <w:tcPr>
                  <w:tcW w:w="3245" w:type="dxa"/>
                  <w:shd w:val="clear" w:color="auto" w:fill="auto"/>
                  <w:vAlign w:val="center"/>
                </w:tcPr>
                <w:p>
                  <w:pPr>
                    <w:autoSpaceDE w:val="0"/>
                    <w:autoSpaceDN w:val="0"/>
                    <w:adjustRightInd w:val="0"/>
                    <w:jc w:val="center"/>
                  </w:pPr>
                  <w:r>
                    <w:rPr/>
                    <w:sym w:font="Wingdings" w:char="00A8"/>
                  </w:r>
                  <w:r>
                    <w:t>向供方索取检测报告</w:t>
                  </w:r>
                </w:p>
                <w:p>
                  <w:pPr>
                    <w:autoSpaceDE w:val="0"/>
                    <w:autoSpaceDN w:val="0"/>
                    <w:adjustRightInd w:val="0"/>
                    <w:jc w:val="center"/>
                    <w:rPr>
                      <w:rFonts w:hint="eastAsia"/>
                      <w:lang w:eastAsia="zh-CN"/>
                    </w:rPr>
                  </w:pPr>
                  <w:r>
                    <w:rPr/>
                    <w:sym w:font="Wingdings" w:char="00A8"/>
                  </w:r>
                  <w:r>
                    <w:t>企业自行检测</w:t>
                  </w:r>
                </w:p>
                <w:p>
                  <w:pPr>
                    <w:autoSpaceDE w:val="0"/>
                    <w:autoSpaceDN w:val="0"/>
                    <w:adjustRightInd w:val="0"/>
                    <w:jc w:val="center"/>
                  </w:pPr>
                  <w:r>
                    <w:rPr/>
                    <w:sym w:font="Wingdings" w:char="00A8"/>
                  </w:r>
                  <w:r>
                    <w:t>第三方检测报告</w:t>
                  </w:r>
                </w:p>
                <w:p>
                  <w:pPr>
                    <w:pStyle w:val="2"/>
                    <w:tabs>
                      <w:tab w:val="left" w:pos="540"/>
                    </w:tabs>
                    <w:ind w:left="0" w:leftChars="0" w:firstLine="0" w:firstLineChars="0"/>
                    <w:rPr>
                      <w:rFonts w:hint="default" w:eastAsia="宋体"/>
                      <w:lang w:val="en-US" w:eastAsia="zh-CN"/>
                    </w:rPr>
                  </w:pPr>
                  <w:r>
                    <w:rPr>
                      <w:bCs/>
                      <w:sz w:val="18"/>
                      <w:szCs w:val="18"/>
                    </w:rPr>
                    <w:sym w:font="Wingdings" w:char="00FE"/>
                  </w:r>
                  <w:r>
                    <w:rPr>
                      <w:rFonts w:hint="eastAsia"/>
                      <w:bCs/>
                      <w:sz w:val="18"/>
                      <w:szCs w:val="18"/>
                      <w:lang w:val="en-US" w:eastAsia="zh-CN"/>
                    </w:rPr>
                    <w:t>使用前清洁、使用后消毒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2305" w:type="dxa"/>
                  <w:shd w:val="clear" w:color="auto" w:fill="auto"/>
                  <w:vAlign w:val="center"/>
                </w:tcPr>
                <w:p>
                  <w:pPr>
                    <w:snapToGrid w:val="0"/>
                    <w:jc w:val="center"/>
                    <w:rPr>
                      <w:rFonts w:hint="default" w:ascii="Times New Roman" w:hAnsi="Times New Roman" w:eastAsia="宋体" w:cs="Times New Roman"/>
                      <w:bCs/>
                      <w:kern w:val="2"/>
                      <w:sz w:val="18"/>
                      <w:szCs w:val="18"/>
                      <w:lang w:val="en-US" w:eastAsia="zh-CN" w:bidi="ar-SA"/>
                    </w:rPr>
                  </w:pPr>
                </w:p>
              </w:tc>
              <w:tc>
                <w:tcPr>
                  <w:tcW w:w="3136" w:type="dxa"/>
                  <w:shd w:val="clear" w:color="auto" w:fill="auto"/>
                  <w:vAlign w:val="center"/>
                </w:tcPr>
                <w:p>
                  <w:pPr>
                    <w:jc w:val="center"/>
                    <w:rPr>
                      <w:rFonts w:ascii="Times New Roman" w:hAnsi="Times New Roman" w:eastAsia="宋体" w:cs="Times New Roman"/>
                      <w:kern w:val="2"/>
                      <w:sz w:val="18"/>
                      <w:szCs w:val="18"/>
                      <w:lang w:val="en-US" w:eastAsia="zh-CN" w:bidi="ar-SA"/>
                    </w:rPr>
                  </w:pPr>
                </w:p>
              </w:tc>
              <w:tc>
                <w:tcPr>
                  <w:tcW w:w="3245" w:type="dxa"/>
                  <w:shd w:val="clear" w:color="auto" w:fill="auto"/>
                  <w:vAlign w:val="center"/>
                </w:tcPr>
                <w:p>
                  <w:pPr>
                    <w:autoSpaceDE w:val="0"/>
                    <w:autoSpaceDN w:val="0"/>
                    <w:adjustRightInd w:val="0"/>
                    <w:jc w:val="center"/>
                    <w:rPr>
                      <w:rFonts w:hint="eastAsia" w:ascii="Times New Roman" w:hAnsi="Times New Roman" w:eastAsia="宋体" w:cs="Times New Roman"/>
                      <w:bCs/>
                      <w:color w:val="FF0000"/>
                      <w:kern w:val="2"/>
                      <w:sz w:val="18"/>
                      <w:szCs w:val="18"/>
                      <w:lang w:val="en-US" w:eastAsia="zh-CN" w:bidi="ar-SA"/>
                    </w:rPr>
                  </w:pPr>
                </w:p>
              </w:tc>
            </w:tr>
          </w:tbl>
          <w:p>
            <w:pPr>
              <w:pStyle w:val="2"/>
              <w:rPr>
                <w:rFonts w:hint="eastAsia"/>
                <w:lang w:val="en-GB"/>
              </w:rPr>
            </w:pPr>
          </w:p>
          <w:p>
            <w:pPr>
              <w:pStyle w:val="4"/>
              <w:shd w:val="clear"/>
              <w:ind w:left="0" w:leftChars="0" w:firstLine="0" w:firstLineChars="0"/>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1026"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rPr>
                <w:b/>
                <w:bCs/>
              </w:rPr>
            </w:pPr>
            <w:r>
              <w:rPr>
                <w:b/>
                <w:bCs/>
              </w:rPr>
              <w:t>控制措施组合的确认</w:t>
            </w:r>
          </w:p>
          <w:p>
            <w:pPr>
              <w:shd w:val="clear" w:color="auto"/>
            </w:pPr>
            <w:r>
              <w:t>组织就OPRP与CCP的组合能够防止、 消除或将成品中食品安全危害减少到可接受水平进行确认。</w:t>
            </w:r>
          </w:p>
          <w:p>
            <w:pPr>
              <w:shd w:val="clear" w:color="auto"/>
            </w:pPr>
            <w:r>
              <w:t>当确认结果表明上述不能被证实时，组织应对控制措施和（或） 其组合进行修改和重新评估。</w:t>
            </w:r>
          </w:p>
          <w:p>
            <w:pPr>
              <w:shd w:val="clear" w:color="auto"/>
            </w:pPr>
          </w:p>
          <w:p>
            <w:pPr>
              <w:shd w:val="clear" w:color="auto"/>
            </w:pPr>
            <w:r>
              <w:t>修订的例子可包括：</w:t>
            </w:r>
          </w:p>
          <w:p>
            <w:pPr>
              <w:shd w:val="clear" w:color="auto"/>
            </w:pPr>
            <w:r>
              <w:rPr>
                <w:rFonts w:hint="eastAsia"/>
              </w:rPr>
              <w:t>——</w:t>
            </w:r>
            <w:r>
              <w:t xml:space="preserve">修改控制措施（例如， 过程参数、 严格度和（或） 其组合） ； </w:t>
            </w:r>
          </w:p>
          <w:p>
            <w:pPr>
              <w:shd w:val="clear" w:color="auto"/>
            </w:pPr>
            <w:r>
              <w:rPr>
                <w:rFonts w:hint="eastAsia"/>
              </w:rPr>
              <w:t>——</w:t>
            </w:r>
            <w:r>
              <w:t>修改原料、工艺技术、成品特性、物流方式、和/或成品预期用途</w:t>
            </w:r>
          </w:p>
          <w:p>
            <w:pPr>
              <w:shd w:val="clear" w:color="auto"/>
              <w:rPr>
                <w:rFonts w:hint="default" w:eastAsia="宋体"/>
                <w:lang w:val="en-US" w:eastAsia="zh-CN"/>
              </w:rPr>
            </w:pPr>
            <w:r>
              <w:rPr>
                <w:rFonts w:hint="eastAsia"/>
                <w:color w:val="0000FF"/>
                <w:lang w:val="en-US" w:eastAsia="zh-CN"/>
              </w:rPr>
              <w:t>——审核周期内未发生修订</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6647"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pPr>
            <w:r>
              <w:t>危害控制计划 (HACCP/OPRP 计划)</w:t>
            </w:r>
          </w:p>
          <w:p>
            <w:pPr>
              <w:shd w:val="clear" w:color="auto"/>
            </w:pPr>
            <w:r>
              <w:t>组织建立、实施和保持HACCP计划。</w:t>
            </w:r>
          </w:p>
          <w:p>
            <w:pPr>
              <w:shd w:val="clear"/>
              <w:spacing w:before="240" w:after="120"/>
              <w:rPr>
                <w:rFonts w:hint="eastAsia"/>
                <w:lang w:val="en-US" w:eastAsia="zh-CN"/>
              </w:rPr>
            </w:pPr>
            <w:r>
              <w:rPr>
                <w:rFonts w:hint="eastAsia"/>
              </w:rPr>
              <w:t>OPRP</w:t>
            </w:r>
            <w:r>
              <w:rPr>
                <w:rFonts w:hint="eastAsia"/>
                <w:lang w:val="en-US" w:eastAsia="zh-CN"/>
              </w:rPr>
              <w:t>计划/</w:t>
            </w:r>
            <w:r>
              <w:rPr>
                <w:rFonts w:hint="eastAsia"/>
                <w:lang w:val="en-GB"/>
              </w:rPr>
              <w:t>HACCP计划1</w:t>
            </w:r>
            <w:r>
              <w:rPr>
                <w:rFonts w:hint="eastAsia"/>
                <w:lang w:val="en-US" w:eastAsia="zh-CN"/>
              </w:rPr>
              <w:t>：</w:t>
            </w:r>
          </w:p>
          <w:tbl>
            <w:tblPr>
              <w:tblStyle w:val="1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531"/>
              <w:gridCol w:w="1522"/>
              <w:gridCol w:w="2978"/>
              <w:gridCol w:w="2405"/>
              <w:gridCol w:w="6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2" w:hRule="atLeast"/>
                <w:tblHeader/>
              </w:trPr>
              <w:tc>
                <w:tcPr>
                  <w:tcW w:w="1531" w:type="dxa"/>
                  <w:tcBorders>
                    <w:tl2br w:val="nil"/>
                    <w:tr2bl w:val="nil"/>
                  </w:tcBorders>
                  <w:tcMar>
                    <w:left w:w="0" w:type="dxa"/>
                    <w:right w:w="0" w:type="dxa"/>
                  </w:tcMar>
                  <w:vAlign w:val="center"/>
                </w:tcPr>
                <w:p>
                  <w:pPr>
                    <w:shd w:val="clear"/>
                    <w:spacing w:line="300" w:lineRule="exact"/>
                    <w:jc w:val="center"/>
                    <w:rPr>
                      <w:b/>
                      <w:color w:val="000000"/>
                      <w:sz w:val="21"/>
                      <w:szCs w:val="21"/>
                      <w:highlight w:val="none"/>
                    </w:rPr>
                  </w:pPr>
                  <w:r>
                    <w:rPr>
                      <w:rFonts w:hint="eastAsia"/>
                      <w:b/>
                      <w:color w:val="000000"/>
                      <w:sz w:val="21"/>
                      <w:szCs w:val="21"/>
                      <w:highlight w:val="none"/>
                    </w:rPr>
                    <w:t>控制措施</w:t>
                  </w:r>
                </w:p>
              </w:tc>
              <w:tc>
                <w:tcPr>
                  <w:tcW w:w="1522" w:type="dxa"/>
                  <w:tcBorders>
                    <w:tl2br w:val="nil"/>
                    <w:tr2bl w:val="nil"/>
                  </w:tcBorders>
                  <w:tcMar>
                    <w:left w:w="0" w:type="dxa"/>
                    <w:right w:w="0" w:type="dxa"/>
                  </w:tcMar>
                  <w:vAlign w:val="center"/>
                </w:tcPr>
                <w:p>
                  <w:pPr>
                    <w:shd w:val="clear"/>
                    <w:spacing w:line="300" w:lineRule="exact"/>
                    <w:jc w:val="center"/>
                    <w:rPr>
                      <w:b/>
                      <w:color w:val="000000"/>
                      <w:sz w:val="21"/>
                      <w:szCs w:val="21"/>
                      <w:highlight w:val="none"/>
                    </w:rPr>
                  </w:pPr>
                  <w:r>
                    <w:rPr>
                      <w:rFonts w:hint="eastAsia"/>
                      <w:b/>
                      <w:color w:val="000000"/>
                      <w:sz w:val="21"/>
                      <w:szCs w:val="21"/>
                      <w:highlight w:val="none"/>
                    </w:rPr>
                    <w:t>所控制</w:t>
                  </w:r>
                  <w:r>
                    <w:rPr>
                      <w:rFonts w:hint="eastAsia"/>
                      <w:b/>
                      <w:color w:val="000000"/>
                      <w:sz w:val="21"/>
                      <w:szCs w:val="21"/>
                      <w:highlight w:val="none"/>
                      <w:lang w:val="en-US" w:eastAsia="zh-CN"/>
                    </w:rPr>
                    <w:t>显著</w:t>
                  </w:r>
                  <w:r>
                    <w:rPr>
                      <w:rFonts w:hint="eastAsia"/>
                      <w:b/>
                      <w:color w:val="000000"/>
                      <w:sz w:val="21"/>
                      <w:szCs w:val="21"/>
                      <w:highlight w:val="none"/>
                    </w:rPr>
                    <w:t>危害</w:t>
                  </w:r>
                </w:p>
              </w:tc>
              <w:tc>
                <w:tcPr>
                  <w:tcW w:w="2978" w:type="dxa"/>
                  <w:tcBorders>
                    <w:tl2br w:val="nil"/>
                    <w:tr2bl w:val="nil"/>
                  </w:tcBorders>
                  <w:tcMar>
                    <w:left w:w="0" w:type="dxa"/>
                    <w:right w:w="0" w:type="dxa"/>
                  </w:tcMar>
                  <w:vAlign w:val="center"/>
                </w:tcPr>
                <w:p>
                  <w:pPr>
                    <w:shd w:val="clear"/>
                    <w:spacing w:line="300" w:lineRule="exact"/>
                    <w:jc w:val="center"/>
                    <w:rPr>
                      <w:rFonts w:hint="default" w:eastAsia="宋体"/>
                      <w:b/>
                      <w:color w:val="000000"/>
                      <w:sz w:val="21"/>
                      <w:szCs w:val="21"/>
                      <w:highlight w:val="none"/>
                      <w:lang w:val="en-US" w:eastAsia="zh-CN"/>
                    </w:rPr>
                  </w:pPr>
                  <w:r>
                    <w:rPr>
                      <w:rFonts w:hint="eastAsia"/>
                      <w:b/>
                      <w:color w:val="000000"/>
                      <w:sz w:val="21"/>
                      <w:szCs w:val="21"/>
                      <w:highlight w:val="none"/>
                    </w:rPr>
                    <w:t>行动准则</w:t>
                  </w:r>
                  <w:r>
                    <w:rPr>
                      <w:rFonts w:hint="eastAsia"/>
                      <w:b/>
                      <w:color w:val="000000"/>
                      <w:sz w:val="21"/>
                      <w:szCs w:val="21"/>
                      <w:highlight w:val="none"/>
                      <w:lang w:val="en-US" w:eastAsia="zh-CN"/>
                    </w:rPr>
                    <w:t>/CL</w:t>
                  </w:r>
                </w:p>
              </w:tc>
              <w:tc>
                <w:tcPr>
                  <w:tcW w:w="2405" w:type="dxa"/>
                  <w:tcBorders>
                    <w:tl2br w:val="nil"/>
                    <w:tr2bl w:val="nil"/>
                  </w:tcBorders>
                  <w:tcMar>
                    <w:left w:w="0" w:type="dxa"/>
                    <w:right w:w="0" w:type="dxa"/>
                  </w:tcMar>
                  <w:vAlign w:val="center"/>
                </w:tcPr>
                <w:p>
                  <w:pPr>
                    <w:shd w:val="clear"/>
                    <w:spacing w:line="300" w:lineRule="exact"/>
                    <w:jc w:val="center"/>
                    <w:rPr>
                      <w:rFonts w:hint="eastAsia" w:eastAsia="宋体"/>
                      <w:b/>
                      <w:color w:val="000000"/>
                      <w:sz w:val="21"/>
                      <w:szCs w:val="21"/>
                      <w:highlight w:val="none"/>
                      <w:lang w:val="en-US" w:eastAsia="zh-CN"/>
                    </w:rPr>
                  </w:pPr>
                  <w:r>
                    <w:rPr>
                      <w:rFonts w:hint="eastAsia"/>
                      <w:b/>
                      <w:color w:val="000000"/>
                      <w:sz w:val="21"/>
                      <w:szCs w:val="21"/>
                      <w:highlight w:val="none"/>
                    </w:rPr>
                    <w:t>监控</w:t>
                  </w:r>
                  <w:r>
                    <w:rPr>
                      <w:rFonts w:hint="eastAsia"/>
                      <w:b/>
                      <w:color w:val="000000"/>
                      <w:sz w:val="21"/>
                      <w:szCs w:val="21"/>
                      <w:highlight w:val="none"/>
                      <w:lang w:val="en-US" w:eastAsia="zh-CN"/>
                    </w:rPr>
                    <w:t>程序</w:t>
                  </w:r>
                </w:p>
              </w:tc>
              <w:tc>
                <w:tcPr>
                  <w:tcW w:w="615" w:type="dxa"/>
                  <w:tcBorders>
                    <w:tl2br w:val="nil"/>
                    <w:tr2bl w:val="nil"/>
                  </w:tcBorders>
                  <w:tcMar>
                    <w:left w:w="0" w:type="dxa"/>
                    <w:right w:w="0" w:type="dxa"/>
                  </w:tcMar>
                  <w:vAlign w:val="center"/>
                </w:tcPr>
                <w:p>
                  <w:pPr>
                    <w:shd w:val="clear"/>
                    <w:spacing w:line="300" w:lineRule="exact"/>
                    <w:jc w:val="center"/>
                    <w:rPr>
                      <w:rFonts w:hint="eastAsia" w:eastAsia="宋体"/>
                      <w:b/>
                      <w:color w:val="000000"/>
                      <w:sz w:val="21"/>
                      <w:szCs w:val="21"/>
                      <w:highlight w:val="none"/>
                      <w:lang w:eastAsia="zh-CN"/>
                    </w:rPr>
                  </w:pPr>
                  <w:r>
                    <w:rPr>
                      <w:rFonts w:hint="eastAsia"/>
                      <w:b/>
                      <w:color w:val="000000"/>
                      <w:sz w:val="21"/>
                      <w:szCs w:val="21"/>
                      <w:highlight w:val="none"/>
                      <w:lang w:val="en-US" w:eastAsia="zh-CN"/>
                    </w:rPr>
                    <w:t>评价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1531" w:type="dxa"/>
                  <w:tcBorders>
                    <w:tl2br w:val="nil"/>
                    <w:tr2bl w:val="nil"/>
                  </w:tcBorders>
                  <w:tcMar>
                    <w:left w:w="0" w:type="dxa"/>
                    <w:right w:w="0" w:type="dxa"/>
                  </w:tcMar>
                  <w:vAlign w:val="center"/>
                </w:tcPr>
                <w:p>
                  <w:pPr>
                    <w:spacing w:line="220" w:lineRule="exact"/>
                    <w:rPr>
                      <w:rFonts w:hint="default" w:cs="Times New Roman" w:asciiTheme="minorEastAsia" w:hAnsiTheme="minorEastAsia" w:eastAsiaTheme="minorEastAsia"/>
                      <w:kern w:val="2"/>
                      <w:sz w:val="18"/>
                      <w:szCs w:val="18"/>
                      <w:lang w:val="en-US" w:eastAsia="zh-CN" w:bidi="ar-SA"/>
                    </w:rPr>
                  </w:pPr>
                  <w:r>
                    <w:rPr>
                      <w:rFonts w:hint="eastAsia" w:asciiTheme="minorEastAsia" w:hAnsiTheme="minorEastAsia" w:eastAsiaTheme="minorEastAsia"/>
                      <w:sz w:val="18"/>
                      <w:szCs w:val="18"/>
                      <w:lang w:val="en-US" w:eastAsia="zh-CN"/>
                    </w:rPr>
                    <w:t>CCP1配料</w:t>
                  </w:r>
                </w:p>
              </w:tc>
              <w:tc>
                <w:tcPr>
                  <w:tcW w:w="1522" w:type="dxa"/>
                  <w:tcBorders>
                    <w:tl2br w:val="nil"/>
                    <w:tr2bl w:val="nil"/>
                  </w:tcBorders>
                  <w:tcMar>
                    <w:left w:w="0" w:type="dxa"/>
                    <w:right w:w="0" w:type="dxa"/>
                  </w:tcMar>
                  <w:vAlign w:val="center"/>
                </w:tcPr>
                <w:p>
                  <w:pPr>
                    <w:spacing w:line="220" w:lineRule="exact"/>
                    <w:rPr>
                      <w:rFonts w:hint="default" w:cs="Times New Roman" w:asciiTheme="minorEastAsia" w:hAnsiTheme="minorEastAsia" w:eastAsiaTheme="minorEastAsia"/>
                      <w:kern w:val="2"/>
                      <w:sz w:val="18"/>
                      <w:szCs w:val="18"/>
                      <w:lang w:val="en-US" w:eastAsia="zh-CN" w:bidi="ar-SA"/>
                    </w:rPr>
                  </w:pPr>
                  <w:r>
                    <w:rPr>
                      <w:rFonts w:hint="eastAsia" w:asciiTheme="minorEastAsia" w:hAnsiTheme="minorEastAsia" w:eastAsiaTheme="minorEastAsia"/>
                      <w:sz w:val="18"/>
                      <w:szCs w:val="18"/>
                      <w:lang w:val="en-US" w:eastAsia="zh-CN"/>
                    </w:rPr>
                    <w:t>限量食品添加剂超量使用</w:t>
                  </w:r>
                </w:p>
              </w:tc>
              <w:tc>
                <w:tcPr>
                  <w:tcW w:w="2978" w:type="dxa"/>
                  <w:tcBorders>
                    <w:tl2br w:val="nil"/>
                    <w:tr2bl w:val="nil"/>
                  </w:tcBorders>
                  <w:tcMar>
                    <w:left w:w="0" w:type="dxa"/>
                    <w:right w:w="0" w:type="dxa"/>
                  </w:tcMar>
                  <w:vAlign w:val="center"/>
                </w:tcPr>
                <w:p>
                  <w:pPr>
                    <w:spacing w:line="220" w:lineRule="exact"/>
                    <w:rPr>
                      <w:rFonts w:hint="default" w:cs="Times New Roman" w:asciiTheme="minorEastAsia" w:hAnsiTheme="minorEastAsia" w:eastAsiaTheme="minorEastAsia"/>
                      <w:kern w:val="2"/>
                      <w:sz w:val="18"/>
                      <w:szCs w:val="18"/>
                      <w:lang w:val="en-US" w:eastAsia="zh-CN" w:bidi="ar-SA"/>
                    </w:rPr>
                  </w:pPr>
                  <w:r>
                    <w:rPr>
                      <w:rFonts w:hint="eastAsia" w:ascii="Times New Roman" w:hAnsi="Times New Roman" w:cs="Times New Roman"/>
                      <w:color w:val="0000FF"/>
                      <w:highlight w:val="none"/>
                      <w:lang w:val="en-US" w:eastAsia="zh-CN"/>
                    </w:rPr>
                    <w:t>甜蜜素：≤8.0g/kg；焦亚硫酸钠≤0.35g/kg；山梨酸及其钾盐≤0.5g/kg；苯甲酸及其钠盐≤0.5g/kg；胭脂红及其铝色淀≤0.05g/kg；</w:t>
                  </w:r>
                </w:p>
              </w:tc>
              <w:tc>
                <w:tcPr>
                  <w:tcW w:w="2405" w:type="dxa"/>
                  <w:tcBorders>
                    <w:tl2br w:val="nil"/>
                    <w:tr2bl w:val="nil"/>
                  </w:tcBorders>
                  <w:tcMar>
                    <w:left w:w="0" w:type="dxa"/>
                    <w:right w:w="0" w:type="dxa"/>
                  </w:tcMar>
                  <w:vAlign w:val="center"/>
                </w:tcPr>
                <w:p>
                  <w:pPr>
                    <w:shd w:val="clear"/>
                    <w:spacing w:line="192" w:lineRule="auto"/>
                    <w:rPr>
                      <w:rFonts w:hint="default" w:eastAsia="宋体"/>
                      <w:color w:val="000000"/>
                      <w:sz w:val="21"/>
                      <w:szCs w:val="21"/>
                      <w:highlight w:val="none"/>
                      <w:lang w:val="en-US" w:eastAsia="zh-CN"/>
                    </w:rPr>
                  </w:pPr>
                  <w:r>
                    <w:rPr>
                      <w:rFonts w:hint="eastAsia"/>
                      <w:color w:val="000000"/>
                      <w:sz w:val="21"/>
                      <w:szCs w:val="21"/>
                      <w:highlight w:val="none"/>
                      <w:lang w:val="en-US" w:eastAsia="zh-CN"/>
                    </w:rPr>
                    <w:t>配料员每批次核酸配料记录，</w:t>
                  </w:r>
                </w:p>
              </w:tc>
              <w:tc>
                <w:tcPr>
                  <w:tcW w:w="615" w:type="dxa"/>
                  <w:tcBorders>
                    <w:tl2br w:val="nil"/>
                    <w:tr2bl w:val="nil"/>
                  </w:tcBorders>
                  <w:tcMar>
                    <w:left w:w="0" w:type="dxa"/>
                    <w:right w:w="0" w:type="dxa"/>
                  </w:tcMar>
                  <w:vAlign w:val="center"/>
                </w:tcPr>
                <w:p>
                  <w:pPr>
                    <w:shd w:val="clear"/>
                    <w:spacing w:line="192" w:lineRule="auto"/>
                    <w:rPr>
                      <w:rFonts w:hint="default" w:eastAsia="宋体"/>
                      <w:color w:val="000000"/>
                      <w:sz w:val="21"/>
                      <w:szCs w:val="21"/>
                      <w:highlight w:val="none"/>
                      <w:lang w:val="en-US" w:eastAsia="zh-CN"/>
                    </w:rPr>
                  </w:pPr>
                  <w:r>
                    <w:rPr>
                      <w:rFonts w:hint="eastAsia"/>
                      <w:color w:val="000000"/>
                      <w:sz w:val="21"/>
                      <w:szCs w:val="21"/>
                      <w:highlight w:val="none"/>
                      <w:lang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1531" w:type="dxa"/>
                  <w:tcBorders>
                    <w:tl2br w:val="nil"/>
                    <w:tr2bl w:val="nil"/>
                  </w:tcBorders>
                  <w:tcMar>
                    <w:left w:w="0" w:type="dxa"/>
                    <w:right w:w="0" w:type="dxa"/>
                  </w:tcMar>
                  <w:vAlign w:val="center"/>
                </w:tcPr>
                <w:p>
                  <w:pPr>
                    <w:pStyle w:val="6"/>
                    <w:spacing w:line="360" w:lineRule="auto"/>
                    <w:rPr>
                      <w:rFonts w:hint="default" w:cs="Times New Roman" w:asciiTheme="minorEastAsia" w:hAnsiTheme="minorEastAsia" w:eastAsiaTheme="minorEastAsia"/>
                      <w:kern w:val="2"/>
                      <w:sz w:val="21"/>
                      <w:szCs w:val="21"/>
                      <w:lang w:val="en-US" w:eastAsia="zh-CN" w:bidi="ar-SA"/>
                    </w:rPr>
                  </w:pPr>
                  <w:r>
                    <w:rPr>
                      <w:rFonts w:hint="eastAsia" w:ascii="Times New Roman" w:hAnsi="Times New Roman" w:cs="Times New Roman"/>
                      <w:color w:val="0000FF"/>
                      <w:highlight w:val="none"/>
                      <w:lang w:val="en-US" w:eastAsia="zh-CN"/>
                    </w:rPr>
                    <w:t>CCP2-1烘干</w:t>
                  </w:r>
                </w:p>
              </w:tc>
              <w:tc>
                <w:tcPr>
                  <w:tcW w:w="1522" w:type="dxa"/>
                  <w:tcBorders>
                    <w:tl2br w:val="nil"/>
                    <w:tr2bl w:val="nil"/>
                  </w:tcBorders>
                  <w:tcMar>
                    <w:left w:w="0" w:type="dxa"/>
                    <w:right w:w="0" w:type="dxa"/>
                  </w:tcMar>
                  <w:vAlign w:val="center"/>
                </w:tcPr>
                <w:p>
                  <w:pPr>
                    <w:spacing w:line="220" w:lineRule="exact"/>
                    <w:jc w:val="center"/>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lang w:val="en-US" w:eastAsia="zh-CN"/>
                    </w:rPr>
                    <w:t>微生物致病菌繁殖</w:t>
                  </w:r>
                </w:p>
              </w:tc>
              <w:tc>
                <w:tcPr>
                  <w:tcW w:w="2978" w:type="dxa"/>
                  <w:tcBorders>
                    <w:tl2br w:val="nil"/>
                    <w:tr2bl w:val="nil"/>
                  </w:tcBorders>
                  <w:tcMar>
                    <w:left w:w="0" w:type="dxa"/>
                    <w:right w:w="0" w:type="dxa"/>
                  </w:tcMar>
                  <w:vAlign w:val="center"/>
                </w:tcPr>
                <w:p>
                  <w:pPr>
                    <w:spacing w:line="220" w:lineRule="exact"/>
                    <w:jc w:val="center"/>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lang w:val="en-US" w:eastAsia="zh-CN"/>
                    </w:rPr>
                    <w:t>烘干温度60-75℃，时间6-15h</w:t>
                  </w:r>
                </w:p>
              </w:tc>
              <w:tc>
                <w:tcPr>
                  <w:tcW w:w="2405" w:type="dxa"/>
                  <w:tcBorders>
                    <w:tl2br w:val="nil"/>
                    <w:tr2bl w:val="nil"/>
                  </w:tcBorders>
                  <w:tcMar>
                    <w:left w:w="0" w:type="dxa"/>
                    <w:right w:w="0" w:type="dxa"/>
                  </w:tcMar>
                  <w:vAlign w:val="center"/>
                </w:tcPr>
                <w:p>
                  <w:pPr>
                    <w:shd w:val="clear"/>
                    <w:spacing w:line="192" w:lineRule="auto"/>
                    <w:rPr>
                      <w:rFonts w:hint="default"/>
                      <w:color w:val="000000"/>
                      <w:sz w:val="21"/>
                      <w:szCs w:val="21"/>
                      <w:highlight w:val="none"/>
                      <w:lang w:val="en-US" w:eastAsia="zh-CN"/>
                    </w:rPr>
                  </w:pPr>
                  <w:r>
                    <w:rPr>
                      <w:rFonts w:hint="eastAsia"/>
                      <w:color w:val="000000"/>
                      <w:sz w:val="21"/>
                      <w:szCs w:val="21"/>
                      <w:highlight w:val="none"/>
                      <w:lang w:val="en-US" w:eastAsia="zh-CN"/>
                    </w:rPr>
                    <w:t>烘干人员每班次查看烘干温度、监控烘干时间</w:t>
                  </w:r>
                </w:p>
              </w:tc>
              <w:tc>
                <w:tcPr>
                  <w:tcW w:w="615" w:type="dxa"/>
                  <w:tcBorders>
                    <w:tl2br w:val="nil"/>
                    <w:tr2bl w:val="nil"/>
                  </w:tcBorders>
                  <w:tcMar>
                    <w:left w:w="0" w:type="dxa"/>
                    <w:right w:w="0" w:type="dxa"/>
                  </w:tcMar>
                  <w:vAlign w:val="center"/>
                </w:tcPr>
                <w:p>
                  <w:pPr>
                    <w:shd w:val="clear"/>
                    <w:spacing w:line="192" w:lineRule="auto"/>
                    <w:rPr>
                      <w:rFonts w:hint="eastAsia"/>
                      <w:sz w:val="21"/>
                      <w:szCs w:val="21"/>
                      <w:highlight w:val="none"/>
                      <w:lang w:eastAsia="zh-CN"/>
                    </w:rPr>
                  </w:pPr>
                  <w:r>
                    <w:rPr>
                      <w:rFonts w:hint="eastAsia"/>
                      <w:sz w:val="21"/>
                      <w:szCs w:val="21"/>
                      <w:highlight w:val="none"/>
                      <w:lang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1531" w:type="dxa"/>
                  <w:tcBorders>
                    <w:tl2br w:val="nil"/>
                    <w:tr2bl w:val="nil"/>
                  </w:tcBorders>
                  <w:tcMar>
                    <w:left w:w="0" w:type="dxa"/>
                    <w:right w:w="0" w:type="dxa"/>
                  </w:tcMar>
                  <w:vAlign w:val="center"/>
                </w:tcPr>
                <w:p>
                  <w:pPr>
                    <w:pStyle w:val="6"/>
                    <w:spacing w:line="360" w:lineRule="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CCP2-2 二次烘干</w:t>
                  </w:r>
                </w:p>
                <w:p>
                  <w:pPr>
                    <w:spacing w:line="220" w:lineRule="exact"/>
                    <w:jc w:val="center"/>
                    <w:rPr>
                      <w:rFonts w:hint="default" w:cs="Times New Roman" w:asciiTheme="minorEastAsia" w:hAnsiTheme="minorEastAsia" w:eastAsiaTheme="minorEastAsia"/>
                      <w:b/>
                      <w:kern w:val="2"/>
                      <w:sz w:val="21"/>
                      <w:szCs w:val="21"/>
                      <w:lang w:val="en-US" w:eastAsia="zh-CN" w:bidi="ar-SA"/>
                    </w:rPr>
                  </w:pPr>
                </w:p>
              </w:tc>
              <w:tc>
                <w:tcPr>
                  <w:tcW w:w="1522" w:type="dxa"/>
                  <w:tcBorders>
                    <w:tl2br w:val="nil"/>
                    <w:tr2bl w:val="nil"/>
                  </w:tcBorders>
                  <w:tcMar>
                    <w:left w:w="0" w:type="dxa"/>
                    <w:right w:w="0" w:type="dxa"/>
                  </w:tcMar>
                  <w:vAlign w:val="center"/>
                </w:tcPr>
                <w:p>
                  <w:pPr>
                    <w:spacing w:line="220" w:lineRule="exact"/>
                    <w:jc w:val="cente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lang w:val="en-US" w:eastAsia="zh-CN"/>
                    </w:rPr>
                    <w:t>微生物致病菌繁殖</w:t>
                  </w:r>
                </w:p>
              </w:tc>
              <w:tc>
                <w:tcPr>
                  <w:tcW w:w="2978" w:type="dxa"/>
                  <w:tcBorders>
                    <w:tl2br w:val="nil"/>
                    <w:tr2bl w:val="nil"/>
                  </w:tcBorders>
                  <w:tcMar>
                    <w:left w:w="0" w:type="dxa"/>
                    <w:right w:w="0" w:type="dxa"/>
                  </w:tcMar>
                  <w:vAlign w:val="center"/>
                </w:tcPr>
                <w:p>
                  <w:pPr>
                    <w:spacing w:line="220" w:lineRule="exact"/>
                    <w:jc w:val="cente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lang w:val="en-US" w:eastAsia="zh-CN"/>
                    </w:rPr>
                    <w:t>烘干温度50-55℃，时间1-3h</w:t>
                  </w:r>
                </w:p>
              </w:tc>
              <w:tc>
                <w:tcPr>
                  <w:tcW w:w="2405" w:type="dxa"/>
                  <w:tcBorders>
                    <w:tl2br w:val="nil"/>
                    <w:tr2bl w:val="nil"/>
                  </w:tcBorders>
                  <w:tcMar>
                    <w:left w:w="0" w:type="dxa"/>
                    <w:right w:w="0" w:type="dxa"/>
                  </w:tcMar>
                  <w:vAlign w:val="center"/>
                </w:tcPr>
                <w:p>
                  <w:pPr>
                    <w:shd w:val="clear"/>
                    <w:spacing w:line="192" w:lineRule="auto"/>
                    <w:rPr>
                      <w:rFonts w:hint="default"/>
                      <w:color w:val="000000"/>
                      <w:sz w:val="21"/>
                      <w:szCs w:val="21"/>
                      <w:highlight w:val="none"/>
                      <w:lang w:val="en-US" w:eastAsia="zh-CN"/>
                    </w:rPr>
                  </w:pPr>
                  <w:r>
                    <w:rPr>
                      <w:rFonts w:hint="eastAsia"/>
                      <w:color w:val="000000"/>
                      <w:sz w:val="21"/>
                      <w:szCs w:val="21"/>
                      <w:highlight w:val="none"/>
                      <w:lang w:val="en-US" w:eastAsia="zh-CN"/>
                    </w:rPr>
                    <w:t>烘干人员每班次查看烘干温度、监控烘干时间</w:t>
                  </w:r>
                </w:p>
              </w:tc>
              <w:tc>
                <w:tcPr>
                  <w:tcW w:w="615" w:type="dxa"/>
                  <w:tcBorders>
                    <w:tl2br w:val="nil"/>
                    <w:tr2bl w:val="nil"/>
                  </w:tcBorders>
                  <w:tcMar>
                    <w:left w:w="0" w:type="dxa"/>
                    <w:right w:w="0" w:type="dxa"/>
                  </w:tcMar>
                  <w:vAlign w:val="center"/>
                </w:tcPr>
                <w:p>
                  <w:pPr>
                    <w:shd w:val="clear"/>
                    <w:spacing w:line="192" w:lineRule="auto"/>
                    <w:rPr>
                      <w:rFonts w:hint="default"/>
                      <w:sz w:val="21"/>
                      <w:szCs w:val="21"/>
                      <w:highlight w:val="none"/>
                      <w:lang w:val="en-US" w:eastAsia="zh-CN"/>
                    </w:rPr>
                  </w:pPr>
                  <w:r>
                    <w:rPr>
                      <w:rFonts w:hint="eastAsia"/>
                      <w:sz w:val="21"/>
                      <w:szCs w:val="21"/>
                      <w:highlight w:val="none"/>
                      <w:lang w:val="en-US"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1531" w:type="dxa"/>
                  <w:tcBorders>
                    <w:tl2br w:val="nil"/>
                    <w:tr2bl w:val="nil"/>
                  </w:tcBorders>
                  <w:tcMar>
                    <w:left w:w="0" w:type="dxa"/>
                    <w:right w:w="0" w:type="dxa"/>
                  </w:tcMar>
                  <w:vAlign w:val="center"/>
                </w:tcPr>
                <w:p>
                  <w:pPr>
                    <w:spacing w:line="220" w:lineRule="exact"/>
                    <w:jc w:val="center"/>
                    <w:rPr>
                      <w:rFonts w:hint="default" w:cs="Times New Roman" w:asciiTheme="minorEastAsia" w:hAnsiTheme="minorEastAsia" w:eastAsiaTheme="minorEastAsia"/>
                      <w:b/>
                      <w:kern w:val="2"/>
                      <w:sz w:val="21"/>
                      <w:szCs w:val="21"/>
                      <w:lang w:val="en-US" w:eastAsia="zh-CN" w:bidi="ar-SA"/>
                    </w:rPr>
                  </w:pPr>
                  <w:r>
                    <w:rPr>
                      <w:rFonts w:hint="eastAsia" w:cs="Times New Roman" w:asciiTheme="minorEastAsia" w:hAnsiTheme="minorEastAsia" w:eastAsiaTheme="minorEastAsia"/>
                      <w:b/>
                      <w:kern w:val="2"/>
                      <w:sz w:val="21"/>
                      <w:szCs w:val="21"/>
                      <w:lang w:val="en-US" w:eastAsia="zh-CN" w:bidi="ar-SA"/>
                    </w:rPr>
                    <w:t>OPRP1-1山楂验收</w:t>
                  </w:r>
                </w:p>
              </w:tc>
              <w:tc>
                <w:tcPr>
                  <w:tcW w:w="1522" w:type="dxa"/>
                  <w:tcBorders>
                    <w:tl2br w:val="nil"/>
                    <w:tr2bl w:val="nil"/>
                  </w:tcBorders>
                  <w:tcMar>
                    <w:left w:w="0" w:type="dxa"/>
                    <w:right w:w="0" w:type="dxa"/>
                  </w:tcMar>
                  <w:vAlign w:val="center"/>
                </w:tcPr>
                <w:p>
                  <w:pPr>
                    <w:spacing w:line="220" w:lineRule="exact"/>
                    <w:jc w:val="cente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lang w:val="en-US" w:eastAsia="zh-CN"/>
                    </w:rPr>
                    <w:t>农药残留、重金属 超标</w:t>
                  </w:r>
                </w:p>
              </w:tc>
              <w:tc>
                <w:tcPr>
                  <w:tcW w:w="2978" w:type="dxa"/>
                  <w:tcBorders>
                    <w:tl2br w:val="nil"/>
                    <w:tr2bl w:val="nil"/>
                  </w:tcBorders>
                  <w:tcMar>
                    <w:left w:w="0" w:type="dxa"/>
                    <w:right w:w="0" w:type="dxa"/>
                  </w:tcMar>
                  <w:vAlign w:val="center"/>
                </w:tcPr>
                <w:p>
                  <w:pPr>
                    <w:spacing w:line="220" w:lineRule="exact"/>
                    <w:jc w:val="cente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lang w:val="en-US" w:eastAsia="zh-CN"/>
                    </w:rPr>
                    <w:t>采购来自合格供方，每年索取山楂符合要求的外检报告或自测</w:t>
                  </w:r>
                </w:p>
              </w:tc>
              <w:tc>
                <w:tcPr>
                  <w:tcW w:w="2405" w:type="dxa"/>
                  <w:tcBorders>
                    <w:tl2br w:val="nil"/>
                    <w:tr2bl w:val="nil"/>
                  </w:tcBorders>
                  <w:tcMar>
                    <w:left w:w="0" w:type="dxa"/>
                    <w:right w:w="0" w:type="dxa"/>
                  </w:tcMar>
                  <w:vAlign w:val="center"/>
                </w:tcPr>
                <w:p>
                  <w:pPr>
                    <w:shd w:val="clear"/>
                    <w:spacing w:line="192" w:lineRule="auto"/>
                    <w:rPr>
                      <w:rFonts w:hint="default"/>
                      <w:color w:val="000000"/>
                      <w:sz w:val="21"/>
                      <w:szCs w:val="21"/>
                      <w:highlight w:val="none"/>
                      <w:lang w:val="en-US" w:eastAsia="zh-CN"/>
                    </w:rPr>
                  </w:pPr>
                  <w:r>
                    <w:rPr>
                      <w:rFonts w:hint="eastAsia"/>
                      <w:color w:val="000000"/>
                      <w:sz w:val="21"/>
                      <w:szCs w:val="21"/>
                      <w:highlight w:val="none"/>
                      <w:lang w:val="en-US" w:eastAsia="zh-CN"/>
                    </w:rPr>
                    <w:t>供方管理员每年索取供方的第三方检测报告，验收员每批次核对批检报告、或每年委托外检</w:t>
                  </w:r>
                </w:p>
              </w:tc>
              <w:tc>
                <w:tcPr>
                  <w:tcW w:w="615" w:type="dxa"/>
                  <w:tcBorders>
                    <w:tl2br w:val="nil"/>
                    <w:tr2bl w:val="nil"/>
                  </w:tcBorders>
                  <w:tcMar>
                    <w:left w:w="0" w:type="dxa"/>
                    <w:right w:w="0" w:type="dxa"/>
                  </w:tcMar>
                  <w:vAlign w:val="center"/>
                </w:tcPr>
                <w:p>
                  <w:pPr>
                    <w:shd w:val="clear"/>
                    <w:spacing w:line="192" w:lineRule="auto"/>
                    <w:rPr>
                      <w:rFonts w:hint="default"/>
                      <w:sz w:val="21"/>
                      <w:szCs w:val="21"/>
                      <w:highlight w:val="none"/>
                      <w:lang w:val="en-US" w:eastAsia="zh-CN"/>
                    </w:rPr>
                  </w:pPr>
                  <w:r>
                    <w:rPr>
                      <w:rFonts w:hint="eastAsia"/>
                      <w:sz w:val="21"/>
                      <w:szCs w:val="21"/>
                      <w:highlight w:val="none"/>
                      <w:lang w:val="en-US"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1531" w:type="dxa"/>
                  <w:tcBorders>
                    <w:tl2br w:val="nil"/>
                    <w:tr2bl w:val="nil"/>
                  </w:tcBorders>
                  <w:tcMar>
                    <w:left w:w="0" w:type="dxa"/>
                    <w:right w:w="0" w:type="dxa"/>
                  </w:tcMar>
                  <w:vAlign w:val="center"/>
                </w:tcPr>
                <w:p>
                  <w:pPr>
                    <w:spacing w:line="220" w:lineRule="exact"/>
                    <w:jc w:val="center"/>
                    <w:rPr>
                      <w:rFonts w:hint="default" w:cs="Times New Roman" w:asciiTheme="minorEastAsia" w:hAnsiTheme="minorEastAsia" w:eastAsiaTheme="minorEastAsia"/>
                      <w:b/>
                      <w:kern w:val="2"/>
                      <w:sz w:val="21"/>
                      <w:szCs w:val="21"/>
                      <w:lang w:val="en-US" w:eastAsia="zh-CN" w:bidi="ar-SA"/>
                    </w:rPr>
                  </w:pPr>
                  <w:r>
                    <w:rPr>
                      <w:rFonts w:hint="eastAsia" w:cs="Times New Roman" w:asciiTheme="minorEastAsia" w:hAnsiTheme="minorEastAsia" w:eastAsiaTheme="minorEastAsia"/>
                      <w:b/>
                      <w:kern w:val="2"/>
                      <w:sz w:val="21"/>
                      <w:szCs w:val="21"/>
                      <w:lang w:val="en-US" w:eastAsia="zh-CN" w:bidi="ar-SA"/>
                    </w:rPr>
                    <w:t>OPRP1-2包材验收</w:t>
                  </w:r>
                </w:p>
              </w:tc>
              <w:tc>
                <w:tcPr>
                  <w:tcW w:w="1522" w:type="dxa"/>
                  <w:tcBorders>
                    <w:tl2br w:val="nil"/>
                    <w:tr2bl w:val="nil"/>
                  </w:tcBorders>
                  <w:tcMar>
                    <w:left w:w="0" w:type="dxa"/>
                    <w:right w:w="0" w:type="dxa"/>
                  </w:tcMar>
                  <w:vAlign w:val="center"/>
                </w:tcPr>
                <w:p>
                  <w:pPr>
                    <w:spacing w:line="220" w:lineRule="exact"/>
                    <w:jc w:val="cente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lang w:val="en-US" w:eastAsia="zh-CN"/>
                    </w:rPr>
                    <w:t>重金属、迁移量超标</w:t>
                  </w:r>
                </w:p>
              </w:tc>
              <w:tc>
                <w:tcPr>
                  <w:tcW w:w="2978" w:type="dxa"/>
                  <w:tcBorders>
                    <w:tl2br w:val="nil"/>
                    <w:tr2bl w:val="nil"/>
                  </w:tcBorders>
                  <w:tcMar>
                    <w:left w:w="0" w:type="dxa"/>
                    <w:right w:w="0" w:type="dxa"/>
                  </w:tcMar>
                  <w:vAlign w:val="center"/>
                </w:tcPr>
                <w:p>
                  <w:pPr>
                    <w:spacing w:line="220" w:lineRule="exact"/>
                    <w:jc w:val="cente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lang w:val="en-US" w:eastAsia="zh-CN"/>
                    </w:rPr>
                    <w:t>采购来自合格供方，每年索取内包材符合要求的外检报告或自测</w:t>
                  </w:r>
                </w:p>
              </w:tc>
              <w:tc>
                <w:tcPr>
                  <w:tcW w:w="2405" w:type="dxa"/>
                  <w:tcBorders>
                    <w:tl2br w:val="nil"/>
                    <w:tr2bl w:val="nil"/>
                  </w:tcBorders>
                  <w:tcMar>
                    <w:left w:w="0" w:type="dxa"/>
                    <w:right w:w="0" w:type="dxa"/>
                  </w:tcMar>
                  <w:vAlign w:val="center"/>
                </w:tcPr>
                <w:p>
                  <w:pPr>
                    <w:shd w:val="clear"/>
                    <w:spacing w:line="192" w:lineRule="auto"/>
                    <w:rPr>
                      <w:rFonts w:hint="default"/>
                      <w:color w:val="000000"/>
                      <w:sz w:val="21"/>
                      <w:szCs w:val="21"/>
                      <w:highlight w:val="none"/>
                      <w:lang w:val="en-US" w:eastAsia="zh-CN"/>
                    </w:rPr>
                  </w:pPr>
                  <w:r>
                    <w:rPr>
                      <w:rFonts w:hint="eastAsia"/>
                      <w:color w:val="000000"/>
                      <w:sz w:val="21"/>
                      <w:szCs w:val="21"/>
                      <w:highlight w:val="none"/>
                      <w:lang w:val="en-US" w:eastAsia="zh-CN"/>
                    </w:rPr>
                    <w:t>供方管理员每年索取供方的第三方检测报告，验收员每批次核对来自合格供方</w:t>
                  </w:r>
                </w:p>
              </w:tc>
              <w:tc>
                <w:tcPr>
                  <w:tcW w:w="615" w:type="dxa"/>
                  <w:tcBorders>
                    <w:tl2br w:val="nil"/>
                    <w:tr2bl w:val="nil"/>
                  </w:tcBorders>
                  <w:tcMar>
                    <w:left w:w="0" w:type="dxa"/>
                    <w:right w:w="0" w:type="dxa"/>
                  </w:tcMar>
                  <w:vAlign w:val="center"/>
                </w:tcPr>
                <w:p>
                  <w:pPr>
                    <w:shd w:val="clear"/>
                    <w:spacing w:line="192" w:lineRule="auto"/>
                    <w:rPr>
                      <w:rFonts w:hint="default"/>
                      <w:sz w:val="21"/>
                      <w:szCs w:val="21"/>
                      <w:highlight w:val="none"/>
                      <w:lang w:val="en-US" w:eastAsia="zh-CN"/>
                    </w:rPr>
                  </w:pPr>
                  <w:r>
                    <w:rPr>
                      <w:rFonts w:hint="eastAsia"/>
                      <w:sz w:val="21"/>
                      <w:szCs w:val="21"/>
                      <w:highlight w:val="none"/>
                      <w:lang w:val="en-US"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1531" w:type="dxa"/>
                  <w:tcBorders>
                    <w:tl2br w:val="nil"/>
                    <w:tr2bl w:val="nil"/>
                  </w:tcBorders>
                  <w:tcMar>
                    <w:left w:w="0" w:type="dxa"/>
                    <w:right w:w="0" w:type="dxa"/>
                  </w:tcMar>
                  <w:vAlign w:val="center"/>
                </w:tcPr>
                <w:p>
                  <w:pPr>
                    <w:spacing w:line="220" w:lineRule="exact"/>
                    <w:jc w:val="center"/>
                    <w:rPr>
                      <w:rFonts w:hint="default" w:cs="Times New Roman" w:asciiTheme="minorEastAsia" w:hAnsiTheme="minorEastAsia" w:eastAsiaTheme="minorEastAsia"/>
                      <w:b/>
                      <w:kern w:val="2"/>
                      <w:sz w:val="21"/>
                      <w:szCs w:val="21"/>
                      <w:lang w:val="en-US" w:eastAsia="zh-CN" w:bidi="ar-SA"/>
                    </w:rPr>
                  </w:pPr>
                  <w:r>
                    <w:rPr>
                      <w:rFonts w:hint="eastAsia" w:cs="Times New Roman" w:asciiTheme="minorEastAsia" w:hAnsiTheme="minorEastAsia" w:eastAsiaTheme="minorEastAsia"/>
                      <w:b/>
                      <w:kern w:val="2"/>
                      <w:sz w:val="21"/>
                      <w:szCs w:val="21"/>
                      <w:lang w:val="en-US" w:eastAsia="zh-CN" w:bidi="ar-SA"/>
                    </w:rPr>
                    <w:t>OPR2切料</w:t>
                  </w:r>
                </w:p>
              </w:tc>
              <w:tc>
                <w:tcPr>
                  <w:tcW w:w="1522" w:type="dxa"/>
                  <w:tcBorders>
                    <w:tl2br w:val="nil"/>
                    <w:tr2bl w:val="nil"/>
                  </w:tcBorders>
                  <w:tcMar>
                    <w:left w:w="0" w:type="dxa"/>
                    <w:right w:w="0" w:type="dxa"/>
                  </w:tcMar>
                  <w:vAlign w:val="center"/>
                </w:tcPr>
                <w:p>
                  <w:pPr>
                    <w:spacing w:line="220" w:lineRule="exact"/>
                    <w:jc w:val="cente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lang w:val="en-US" w:eastAsia="zh-CN"/>
                    </w:rPr>
                    <w:t>微生物致病菌繁殖</w:t>
                  </w:r>
                </w:p>
              </w:tc>
              <w:tc>
                <w:tcPr>
                  <w:tcW w:w="2978" w:type="dxa"/>
                  <w:tcBorders>
                    <w:tl2br w:val="nil"/>
                    <w:tr2bl w:val="nil"/>
                  </w:tcBorders>
                  <w:tcMar>
                    <w:left w:w="0" w:type="dxa"/>
                    <w:right w:w="0" w:type="dxa"/>
                  </w:tcMar>
                  <w:vAlign w:val="center"/>
                </w:tcPr>
                <w:p>
                  <w:pPr>
                    <w:spacing w:line="220" w:lineRule="exact"/>
                    <w:jc w:val="center"/>
                    <w:rPr>
                      <w:rFonts w:hint="eastAsia" w:cs="Times New Roman" w:asciiTheme="minorEastAsia" w:hAnsiTheme="minorEastAsia" w:eastAsiaTheme="minorEastAsia"/>
                      <w:kern w:val="2"/>
                      <w:sz w:val="21"/>
                      <w:szCs w:val="21"/>
                      <w:lang w:val="en-US" w:eastAsia="zh-CN" w:bidi="ar-SA"/>
                    </w:rPr>
                  </w:pPr>
                  <w:r>
                    <w:rPr>
                      <w:rFonts w:hint="eastAsia" w:cs="Times New Roman"/>
                      <w:color w:val="0000FF"/>
                      <w:kern w:val="0"/>
                      <w:sz w:val="19"/>
                      <w:szCs w:val="19"/>
                      <w:lang w:val="en-US" w:eastAsia="zh-CN" w:bidi="ar"/>
                    </w:rPr>
                    <w:t>每次生产前开启一小时臭氧对环境进行消杀（自动设置，每天确认）</w:t>
                  </w:r>
                </w:p>
              </w:tc>
              <w:tc>
                <w:tcPr>
                  <w:tcW w:w="2405" w:type="dxa"/>
                  <w:tcBorders>
                    <w:tl2br w:val="nil"/>
                    <w:tr2bl w:val="nil"/>
                  </w:tcBorders>
                  <w:tcMar>
                    <w:left w:w="0" w:type="dxa"/>
                    <w:right w:w="0" w:type="dxa"/>
                  </w:tcMar>
                  <w:vAlign w:val="center"/>
                </w:tcPr>
                <w:p>
                  <w:pPr>
                    <w:shd w:val="clear"/>
                    <w:spacing w:line="192" w:lineRule="auto"/>
                    <w:rPr>
                      <w:rFonts w:hint="default"/>
                      <w:color w:val="000000"/>
                      <w:sz w:val="21"/>
                      <w:szCs w:val="21"/>
                      <w:highlight w:val="none"/>
                      <w:lang w:val="en-US" w:eastAsia="zh-CN"/>
                    </w:rPr>
                  </w:pPr>
                  <w:r>
                    <w:rPr>
                      <w:rFonts w:hint="eastAsia"/>
                      <w:color w:val="000000"/>
                      <w:sz w:val="21"/>
                      <w:szCs w:val="21"/>
                      <w:highlight w:val="none"/>
                      <w:lang w:val="en-US" w:eastAsia="zh-CN"/>
                    </w:rPr>
                    <w:t>切料组人每天确认臭氧机运行并记录</w:t>
                  </w:r>
                </w:p>
              </w:tc>
              <w:tc>
                <w:tcPr>
                  <w:tcW w:w="615" w:type="dxa"/>
                  <w:tcBorders>
                    <w:tl2br w:val="nil"/>
                    <w:tr2bl w:val="nil"/>
                  </w:tcBorders>
                  <w:tcMar>
                    <w:left w:w="0" w:type="dxa"/>
                    <w:right w:w="0" w:type="dxa"/>
                  </w:tcMar>
                  <w:vAlign w:val="center"/>
                </w:tcPr>
                <w:p>
                  <w:pPr>
                    <w:shd w:val="clear"/>
                    <w:spacing w:line="192" w:lineRule="auto"/>
                    <w:rPr>
                      <w:rFonts w:hint="default"/>
                      <w:sz w:val="21"/>
                      <w:szCs w:val="21"/>
                      <w:highlight w:val="none"/>
                      <w:lang w:val="en-US" w:eastAsia="zh-CN"/>
                    </w:rPr>
                  </w:pPr>
                  <w:r>
                    <w:rPr>
                      <w:rFonts w:hint="eastAsia"/>
                      <w:sz w:val="21"/>
                      <w:szCs w:val="21"/>
                      <w:highlight w:val="none"/>
                      <w:lang w:val="en-US"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1531" w:type="dxa"/>
                  <w:tcBorders>
                    <w:tl2br w:val="nil"/>
                    <w:tr2bl w:val="nil"/>
                  </w:tcBorders>
                  <w:tcMar>
                    <w:left w:w="0" w:type="dxa"/>
                    <w:right w:w="0" w:type="dxa"/>
                  </w:tcMar>
                  <w:vAlign w:val="center"/>
                </w:tcPr>
                <w:p>
                  <w:pPr>
                    <w:spacing w:line="220" w:lineRule="exact"/>
                    <w:jc w:val="center"/>
                    <w:rPr>
                      <w:rFonts w:hint="default" w:cs="Times New Roman" w:asciiTheme="minorEastAsia" w:hAnsiTheme="minorEastAsia" w:eastAsiaTheme="minorEastAsia"/>
                      <w:b/>
                      <w:kern w:val="2"/>
                      <w:sz w:val="21"/>
                      <w:szCs w:val="21"/>
                      <w:lang w:val="en-US" w:eastAsia="zh-CN" w:bidi="ar-SA"/>
                    </w:rPr>
                  </w:pPr>
                  <w:r>
                    <w:rPr>
                      <w:rFonts w:hint="eastAsia" w:cs="Times New Roman" w:asciiTheme="minorEastAsia" w:hAnsiTheme="minorEastAsia" w:eastAsiaTheme="minorEastAsia"/>
                      <w:b/>
                      <w:kern w:val="2"/>
                      <w:sz w:val="21"/>
                      <w:szCs w:val="21"/>
                      <w:lang w:val="en-US" w:eastAsia="zh-CN" w:bidi="ar-SA"/>
                    </w:rPr>
                    <w:t>OPRP3内包</w:t>
                  </w:r>
                </w:p>
              </w:tc>
              <w:tc>
                <w:tcPr>
                  <w:tcW w:w="1522" w:type="dxa"/>
                  <w:tcBorders>
                    <w:tl2br w:val="nil"/>
                    <w:tr2bl w:val="nil"/>
                  </w:tcBorders>
                  <w:tcMar>
                    <w:left w:w="0" w:type="dxa"/>
                    <w:right w:w="0" w:type="dxa"/>
                  </w:tcMar>
                  <w:vAlign w:val="center"/>
                </w:tcPr>
                <w:p>
                  <w:pPr>
                    <w:spacing w:line="220" w:lineRule="exact"/>
                    <w:jc w:val="cente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lang w:val="en-US" w:eastAsia="zh-CN"/>
                    </w:rPr>
                    <w:t>微生物致病菌繁殖</w:t>
                  </w:r>
                </w:p>
              </w:tc>
              <w:tc>
                <w:tcPr>
                  <w:tcW w:w="2978" w:type="dxa"/>
                  <w:tcBorders>
                    <w:tl2br w:val="nil"/>
                    <w:tr2bl w:val="nil"/>
                  </w:tcBorders>
                  <w:tcMar>
                    <w:left w:w="0" w:type="dxa"/>
                    <w:right w:w="0" w:type="dxa"/>
                  </w:tcMar>
                  <w:vAlign w:val="center"/>
                </w:tcPr>
                <w:p>
                  <w:pPr>
                    <w:keepNext w:val="0"/>
                    <w:keepLines w:val="0"/>
                    <w:widowControl/>
                    <w:suppressLineNumbers w:val="0"/>
                    <w:jc w:val="left"/>
                    <w:rPr>
                      <w:color w:val="0000FF"/>
                    </w:rPr>
                  </w:pPr>
                  <w:r>
                    <w:rPr>
                      <w:rFonts w:hint="default" w:ascii="Times New Roman" w:hAnsi="Times New Roman" w:eastAsia="宋体" w:cs="Times New Roman"/>
                      <w:color w:val="0000FF"/>
                      <w:kern w:val="0"/>
                      <w:sz w:val="19"/>
                      <w:szCs w:val="19"/>
                      <w:lang w:val="en-US" w:eastAsia="zh-CN" w:bidi="ar"/>
                    </w:rPr>
                    <w:t>1</w:t>
                  </w:r>
                  <w:r>
                    <w:rPr>
                      <w:rFonts w:hint="eastAsia" w:ascii="宋体" w:hAnsi="宋体" w:cs="宋体"/>
                      <w:color w:val="0000FF"/>
                      <w:kern w:val="0"/>
                      <w:sz w:val="19"/>
                      <w:szCs w:val="19"/>
                      <w:lang w:val="en-US" w:eastAsia="zh-CN" w:bidi="ar"/>
                    </w:rPr>
                    <w:t>）</w:t>
                  </w:r>
                  <w:r>
                    <w:rPr>
                      <w:rFonts w:hint="eastAsia" w:ascii="宋体" w:hAnsi="宋体" w:eastAsia="宋体" w:cs="宋体"/>
                      <w:color w:val="0000FF"/>
                      <w:kern w:val="0"/>
                      <w:sz w:val="19"/>
                      <w:szCs w:val="19"/>
                      <w:lang w:val="en-US" w:eastAsia="zh-CN" w:bidi="ar"/>
                    </w:rPr>
                    <w:t xml:space="preserve">每次生产前开启 </w:t>
                  </w:r>
                </w:p>
                <w:p>
                  <w:pPr>
                    <w:spacing w:line="220" w:lineRule="exact"/>
                    <w:jc w:val="center"/>
                    <w:rPr>
                      <w:rFonts w:hint="eastAsia" w:cs="Times New Roman" w:asciiTheme="minorEastAsia" w:hAnsiTheme="minorEastAsia" w:eastAsiaTheme="minorEastAsia"/>
                      <w:kern w:val="2"/>
                      <w:sz w:val="21"/>
                      <w:szCs w:val="21"/>
                      <w:lang w:val="en-US" w:eastAsia="zh-CN" w:bidi="ar-SA"/>
                    </w:rPr>
                  </w:pPr>
                  <w:r>
                    <w:rPr>
                      <w:rFonts w:hint="eastAsia" w:ascii="宋体" w:hAnsi="宋体" w:eastAsia="宋体" w:cs="宋体"/>
                      <w:color w:val="0000FF"/>
                      <w:kern w:val="0"/>
                      <w:sz w:val="19"/>
                      <w:szCs w:val="19"/>
                      <w:lang w:val="en-US" w:eastAsia="zh-CN" w:bidi="ar"/>
                    </w:rPr>
                    <w:t>一小时臭氧对环境进行消杀；</w:t>
                  </w:r>
                  <w:r>
                    <w:rPr>
                      <w:rFonts w:hint="default" w:ascii="Times New Roman" w:hAnsi="Times New Roman" w:eastAsia="宋体" w:cs="Times New Roman"/>
                      <w:color w:val="0000FF"/>
                      <w:kern w:val="0"/>
                      <w:sz w:val="19"/>
                      <w:szCs w:val="19"/>
                      <w:lang w:val="en-US" w:eastAsia="zh-CN" w:bidi="ar"/>
                    </w:rPr>
                    <w:t>2</w:t>
                  </w:r>
                  <w:r>
                    <w:rPr>
                      <w:rFonts w:hint="eastAsia" w:ascii="宋体" w:hAnsi="宋体" w:cs="宋体"/>
                      <w:color w:val="0000FF"/>
                      <w:kern w:val="0"/>
                      <w:sz w:val="19"/>
                      <w:szCs w:val="19"/>
                      <w:lang w:val="en-US" w:eastAsia="zh-CN" w:bidi="ar"/>
                    </w:rPr>
                    <w:t>）</w:t>
                  </w:r>
                  <w:r>
                    <w:rPr>
                      <w:rFonts w:hint="eastAsia" w:ascii="宋体" w:hAnsi="宋体" w:eastAsia="宋体" w:cs="宋体"/>
                      <w:color w:val="0000FF"/>
                      <w:kern w:val="0"/>
                      <w:sz w:val="19"/>
                      <w:szCs w:val="19"/>
                      <w:lang w:val="en-US" w:eastAsia="zh-CN" w:bidi="ar"/>
                    </w:rPr>
                    <w:t>对内包材臭氧</w:t>
                  </w:r>
                  <w:r>
                    <w:rPr>
                      <w:rFonts w:hint="default" w:ascii="Times New Roman" w:hAnsi="Times New Roman" w:eastAsia="宋体" w:cs="Times New Roman"/>
                      <w:color w:val="0000FF"/>
                      <w:kern w:val="0"/>
                      <w:sz w:val="19"/>
                      <w:szCs w:val="19"/>
                      <w:lang w:val="en-US" w:eastAsia="zh-CN" w:bidi="ar"/>
                    </w:rPr>
                    <w:t>/</w:t>
                  </w:r>
                  <w:r>
                    <w:rPr>
                      <w:rFonts w:hint="eastAsia" w:ascii="宋体" w:hAnsi="宋体" w:eastAsia="宋体" w:cs="宋体"/>
                      <w:color w:val="0000FF"/>
                      <w:kern w:val="0"/>
                      <w:sz w:val="19"/>
                      <w:szCs w:val="19"/>
                      <w:lang w:val="en-US" w:eastAsia="zh-CN" w:bidi="ar"/>
                    </w:rPr>
                    <w:t xml:space="preserve">紫外线消杀 </w:t>
                  </w:r>
                  <w:r>
                    <w:rPr>
                      <w:rFonts w:hint="default" w:ascii="Times New Roman" w:hAnsi="Times New Roman" w:eastAsia="宋体" w:cs="Times New Roman"/>
                      <w:color w:val="0000FF"/>
                      <w:kern w:val="0"/>
                      <w:sz w:val="19"/>
                      <w:szCs w:val="19"/>
                      <w:lang w:val="en-US" w:eastAsia="zh-CN" w:bidi="ar"/>
                    </w:rPr>
                    <w:t xml:space="preserve">30min </w:t>
                  </w:r>
                  <w:r>
                    <w:rPr>
                      <w:rFonts w:hint="eastAsia" w:ascii="宋体" w:hAnsi="宋体" w:eastAsia="宋体" w:cs="宋体"/>
                      <w:color w:val="0000FF"/>
                      <w:kern w:val="0"/>
                      <w:sz w:val="19"/>
                      <w:szCs w:val="19"/>
                      <w:lang w:val="en-US" w:eastAsia="zh-CN" w:bidi="ar"/>
                    </w:rPr>
                    <w:t>以上</w:t>
                  </w:r>
                  <w:r>
                    <w:rPr>
                      <w:rFonts w:hint="eastAsia" w:ascii="宋体" w:hAnsi="宋体" w:cs="宋体"/>
                      <w:color w:val="0000FF"/>
                      <w:kern w:val="0"/>
                      <w:sz w:val="19"/>
                      <w:szCs w:val="19"/>
                      <w:lang w:val="en-US" w:eastAsia="zh-CN" w:bidi="ar"/>
                    </w:rPr>
                    <w:t>；</w:t>
                  </w:r>
                </w:p>
              </w:tc>
              <w:tc>
                <w:tcPr>
                  <w:tcW w:w="2405" w:type="dxa"/>
                  <w:tcBorders>
                    <w:tl2br w:val="nil"/>
                    <w:tr2bl w:val="nil"/>
                  </w:tcBorders>
                  <w:tcMar>
                    <w:left w:w="0" w:type="dxa"/>
                    <w:right w:w="0" w:type="dxa"/>
                  </w:tcMar>
                  <w:vAlign w:val="center"/>
                </w:tcPr>
                <w:p>
                  <w:pPr>
                    <w:shd w:val="clear"/>
                    <w:spacing w:line="192" w:lineRule="auto"/>
                    <w:rPr>
                      <w:rFonts w:hint="eastAsia"/>
                      <w:color w:val="000000"/>
                      <w:sz w:val="21"/>
                      <w:szCs w:val="21"/>
                      <w:highlight w:val="none"/>
                      <w:lang w:val="en-US" w:eastAsia="zh-CN"/>
                    </w:rPr>
                  </w:pPr>
                  <w:r>
                    <w:rPr>
                      <w:rFonts w:hint="eastAsia"/>
                      <w:color w:val="000000"/>
                      <w:sz w:val="21"/>
                      <w:szCs w:val="21"/>
                      <w:highlight w:val="none"/>
                      <w:lang w:val="en-US" w:eastAsia="zh-CN"/>
                    </w:rPr>
                    <w:t>内包组人每天确认臭氧机运行并记录</w:t>
                  </w:r>
                </w:p>
              </w:tc>
              <w:tc>
                <w:tcPr>
                  <w:tcW w:w="615" w:type="dxa"/>
                  <w:tcBorders>
                    <w:tl2br w:val="nil"/>
                    <w:tr2bl w:val="nil"/>
                  </w:tcBorders>
                  <w:tcMar>
                    <w:left w:w="0" w:type="dxa"/>
                    <w:right w:w="0" w:type="dxa"/>
                  </w:tcMar>
                  <w:vAlign w:val="center"/>
                </w:tcPr>
                <w:p>
                  <w:pPr>
                    <w:shd w:val="clear"/>
                    <w:spacing w:line="192" w:lineRule="auto"/>
                    <w:rPr>
                      <w:rFonts w:hint="default"/>
                      <w:sz w:val="21"/>
                      <w:szCs w:val="21"/>
                      <w:highlight w:val="none"/>
                      <w:lang w:val="en-US" w:eastAsia="zh-CN"/>
                    </w:rPr>
                  </w:pPr>
                  <w:r>
                    <w:rPr>
                      <w:rFonts w:hint="eastAsia"/>
                      <w:sz w:val="21"/>
                      <w:szCs w:val="21"/>
                      <w:highlight w:val="none"/>
                      <w:lang w:val="en-US" w:eastAsia="zh-CN"/>
                    </w:rPr>
                    <w:t>1</w:t>
                  </w:r>
                </w:p>
              </w:tc>
            </w:tr>
          </w:tbl>
          <w:p>
            <w:pPr>
              <w:pStyle w:val="4"/>
              <w:shd w:val="clear"/>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fill="D6E3BC" w:themeFill="accent3" w:themeFillTint="66"/>
              <w:rPr>
                <w:b/>
                <w:bCs/>
              </w:rPr>
            </w:pPr>
            <w:r>
              <w:rPr>
                <w:b/>
                <w:bCs/>
              </w:rPr>
              <w:t>超出关键限值或行动限值采取的措施</w:t>
            </w:r>
          </w:p>
          <w:p>
            <w:pPr>
              <w:shd w:val="clear" w:color="auto" w:fill="D6E3BC" w:themeFill="accent3" w:themeFillTint="66"/>
            </w:pPr>
            <w:r>
              <w:t>组织规定超出行动限值或行动限值时所采取的纠正和纠正措施。并确保：</w:t>
            </w:r>
          </w:p>
          <w:p>
            <w:pPr>
              <w:shd w:val="clear" w:color="auto" w:fill="D6E3BC" w:themeFill="accent3" w:themeFillTint="66"/>
            </w:pPr>
            <w:r>
              <w:t>a) 潜在不安全产品未放行；</w:t>
            </w:r>
          </w:p>
          <w:p>
            <w:pPr>
              <w:shd w:val="clear" w:color="auto" w:fill="D6E3BC" w:themeFill="accent3" w:themeFillTint="66"/>
            </w:pPr>
            <w:r>
              <w:t>b) 查明不符合的原因；</w:t>
            </w:r>
          </w:p>
          <w:p>
            <w:pPr>
              <w:shd w:val="clear" w:color="auto" w:fill="D6E3BC" w:themeFill="accent3" w:themeFillTint="66"/>
            </w:pPr>
            <w:r>
              <w:t>c)</w:t>
            </w:r>
            <w:r>
              <w:rPr>
                <w:rFonts w:hint="eastAsia"/>
              </w:rPr>
              <w:t xml:space="preserve"> </w:t>
            </w:r>
            <w:r>
              <w:t>使在CCP和OPRP控制的参数回到关键限值或行动限值内；</w:t>
            </w:r>
          </w:p>
          <w:p>
            <w:pPr>
              <w:shd w:val="clear" w:color="auto" w:fill="D6E3BC" w:themeFill="accent3" w:themeFillTint="66"/>
            </w:pPr>
            <w:r>
              <w:t>d）防止再次发生。</w:t>
            </w:r>
          </w:p>
          <w:p>
            <w:pPr>
              <w:shd w:val="clear" w:fill="D6E3BC" w:themeFill="accent3" w:themeFillTint="66"/>
              <w:tabs>
                <w:tab w:val="right" w:pos="3119"/>
              </w:tabs>
            </w:pPr>
          </w:p>
          <w:p>
            <w:pPr>
              <w:shd w:val="clear" w:fill="D6E3BC" w:themeFill="accent3" w:themeFillTint="66"/>
              <w:tabs>
                <w:tab w:val="right" w:pos="3119"/>
              </w:tabs>
              <w:rPr>
                <w:rFonts w:hint="default" w:eastAsia="宋体"/>
                <w:color w:val="0000FF"/>
                <w:lang w:val="en-US" w:eastAsia="zh-CN"/>
              </w:rPr>
            </w:pPr>
            <w:r>
              <w:rPr>
                <w:rFonts w:hint="eastAsia"/>
              </w:rPr>
              <w:t>发生纠偏的示例</w:t>
            </w:r>
            <w:r>
              <w:rPr>
                <w:rFonts w:hint="eastAsia"/>
                <w:color w:val="0000FF"/>
              </w:rPr>
              <w:t>：</w:t>
            </w:r>
            <w:r>
              <w:rPr>
                <w:rFonts w:hint="eastAsia"/>
                <w:color w:val="0000FF"/>
                <w:lang w:val="en-US" w:eastAsia="zh-CN"/>
              </w:rPr>
              <w:t>审核周期内未发生</w:t>
            </w:r>
          </w:p>
          <w:p>
            <w:pPr>
              <w:shd w:val="clear" w:fill="D6E3BC" w:themeFill="accent3" w:themeFillTint="66"/>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D6E3BC" w:themeFill="accent3" w:themeFillTint="66"/>
              <w:rPr>
                <w:b/>
                <w:bCs/>
              </w:rPr>
            </w:pPr>
            <w:r>
              <w:t xml:space="preserve"> </w:t>
            </w:r>
            <w:r>
              <w:rPr>
                <w:b/>
                <w:bCs/>
              </w:rPr>
              <w:t>PRP和 危害控制计划文件的更新</w:t>
            </w:r>
          </w:p>
          <w:p>
            <w:pPr>
              <w:shd w:val="clear" w:color="auto" w:fill="D6E3BC" w:themeFill="accent3" w:themeFillTint="66"/>
              <w:rPr>
                <w:rFonts w:hint="default" w:eastAsia="宋体"/>
                <w:lang w:val="en-US" w:eastAsia="zh-CN"/>
              </w:rPr>
            </w:pPr>
            <w:r>
              <w:t>制定OPRP计划和（或） HACCP计划后，组织</w:t>
            </w:r>
            <w:r>
              <w:rPr>
                <w:rFonts w:hint="eastAsia"/>
              </w:rPr>
              <w:sym w:font="Wingdings" w:char="00A8"/>
            </w:r>
            <w:r>
              <w:rPr>
                <w:rFonts w:hint="eastAsia"/>
              </w:rPr>
              <w:t>未更新/</w:t>
            </w:r>
            <w:r>
              <w:rPr>
                <w:rFonts w:hint="eastAsia"/>
              </w:rPr>
              <w:sym w:font="Wingdings" w:char="00FE"/>
            </w:r>
            <w:r>
              <w:t>更新</w:t>
            </w:r>
            <w:r>
              <w:rPr>
                <w:rFonts w:hint="eastAsia"/>
              </w:rPr>
              <w:t>了</w:t>
            </w:r>
            <w:r>
              <w:t>如下信息：</w:t>
            </w:r>
          </w:p>
          <w:p>
            <w:pPr>
              <w:shd w:val="clear" w:color="auto" w:fill="D6E3BC" w:themeFill="accent3" w:themeFillTint="66"/>
            </w:pPr>
            <w:r>
              <w:rPr>
                <w:rFonts w:hint="eastAsia"/>
              </w:rPr>
              <w:t xml:space="preserve">☑ </w:t>
            </w:r>
            <w:r>
              <w:t>原料、 辅料和与产品接触材料的特性；</w:t>
            </w:r>
          </w:p>
          <w:p>
            <w:pPr>
              <w:shd w:val="clear" w:color="auto" w:fill="D6E3BC" w:themeFill="accent3" w:themeFillTint="66"/>
            </w:pPr>
            <w:r>
              <w:rPr>
                <w:rFonts w:hint="eastAsia"/>
              </w:rPr>
              <w:t>☑</w:t>
            </w:r>
            <w:r>
              <w:t xml:space="preserve"> 成品特性；</w:t>
            </w:r>
          </w:p>
          <w:p>
            <w:pPr>
              <w:shd w:val="clear" w:color="auto" w:fill="D6E3BC" w:themeFill="accent3" w:themeFillTint="66"/>
            </w:pPr>
            <w:r>
              <w:rPr>
                <w:rFonts w:hint="eastAsia"/>
              </w:rPr>
              <w:t>☑</w:t>
            </w:r>
            <w:r>
              <w:t xml:space="preserve"> 预期用途；</w:t>
            </w:r>
          </w:p>
          <w:p>
            <w:pPr>
              <w:shd w:val="clear" w:color="auto" w:fill="D6E3BC" w:themeFill="accent3" w:themeFillTint="66"/>
            </w:pPr>
            <w:r>
              <w:rPr>
                <w:rFonts w:hint="eastAsia"/>
              </w:rPr>
              <w:t>☑</w:t>
            </w:r>
            <w:r>
              <w:t xml:space="preserve"> 流程图、 工艺步骤和控制措施。</w:t>
            </w:r>
          </w:p>
          <w:p>
            <w:pPr>
              <w:shd w:val="clear" w:color="auto" w:fill="D6E3BC" w:themeFill="accent3" w:themeFillTint="66"/>
            </w:pPr>
            <w:r>
              <w:rPr>
                <w:rFonts w:hint="eastAsia"/>
              </w:rPr>
              <w:t>☑</w:t>
            </w:r>
            <w:r>
              <w:t>HACCP计划、 OPRP计划和/或PRP。</w:t>
            </w:r>
          </w:p>
          <w:p>
            <w:pPr>
              <w:shd w:val="clear" w:color="auto" w:fill="D6E3BC" w:themeFill="accent3" w:themeFillTint="66"/>
              <w:rPr>
                <w:rFonts w:hint="default" w:eastAsia="宋体"/>
                <w:lang w:val="en-US" w:eastAsia="zh-CN"/>
              </w:rPr>
            </w:pPr>
            <w:r>
              <w:rPr>
                <w:rFonts w:hint="eastAsia"/>
                <w:lang w:val="en-US" w:eastAsia="zh-CN"/>
              </w:rPr>
              <w:t>经确认验证有效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fill="D6E3BC" w:themeFill="accent3" w:themeFillTint="66"/>
              <w:rPr>
                <w:b/>
                <w:bCs/>
                <w:highlight w:val="none"/>
              </w:rPr>
            </w:pPr>
            <w:r>
              <w:rPr>
                <w:b/>
                <w:bCs/>
                <w:highlight w:val="none"/>
              </w:rPr>
              <w:t>监视和测量的控制</w:t>
            </w:r>
          </w:p>
          <w:p>
            <w:pPr>
              <w:shd w:val="clear" w:color="auto" w:fill="D6E3BC" w:themeFill="accent3" w:themeFillTint="66"/>
              <w:rPr>
                <w:rFonts w:hint="eastAsia"/>
                <w:highlight w:val="none"/>
                <w:lang w:val="en-US" w:eastAsia="zh-CN"/>
              </w:rPr>
            </w:pPr>
            <w:r>
              <w:rPr>
                <w:rFonts w:hint="eastAsia"/>
                <w:highlight w:val="none"/>
              </w:rPr>
              <w:t>与食品安全相关的</w:t>
            </w:r>
            <w:r>
              <w:rPr>
                <w:highlight w:val="none"/>
              </w:rPr>
              <w:t>监视和测量</w:t>
            </w:r>
            <w:r>
              <w:rPr>
                <w:rFonts w:hint="eastAsia"/>
                <w:highlight w:val="none"/>
              </w:rPr>
              <w:t xml:space="preserve">方法依据：  </w:t>
            </w:r>
            <w:r>
              <w:rPr>
                <w:rFonts w:hint="eastAsia"/>
                <w:highlight w:val="none"/>
                <w:lang w:eastAsia="zh-CN"/>
              </w:rPr>
              <w:sym w:font="Wingdings 2" w:char="0052"/>
            </w:r>
            <w:r>
              <w:rPr>
                <w:rFonts w:hint="eastAsia"/>
                <w:highlight w:val="none"/>
              </w:rPr>
              <w:t xml:space="preserve">外来标准 </w:t>
            </w:r>
            <w:r>
              <w:rPr>
                <w:rFonts w:hint="eastAsia"/>
                <w:highlight w:val="none"/>
              </w:rPr>
              <w:sym w:font="Wingdings" w:char="00A8"/>
            </w:r>
            <w:r>
              <w:rPr>
                <w:rFonts w:hint="eastAsia"/>
                <w:highlight w:val="none"/>
              </w:rPr>
              <w:t xml:space="preserve">企业标准  </w:t>
            </w:r>
            <w:r>
              <w:rPr>
                <w:rFonts w:hint="eastAsia"/>
                <w:highlight w:val="none"/>
              </w:rPr>
              <w:sym w:font="Wingdings" w:char="00FE"/>
            </w:r>
            <w:r>
              <w:rPr>
                <w:rFonts w:hint="eastAsia"/>
                <w:highlight w:val="none"/>
              </w:rPr>
              <w:t xml:space="preserve">顾客要求 </w:t>
            </w:r>
            <w:r>
              <w:rPr>
                <w:rFonts w:hint="eastAsia"/>
                <w:highlight w:val="none"/>
              </w:rPr>
              <w:sym w:font="Wingdings" w:char="00A8"/>
            </w:r>
            <w:r>
              <w:rPr>
                <w:rFonts w:hint="eastAsia"/>
                <w:highlight w:val="none"/>
              </w:rPr>
              <w:t>其他</w:t>
            </w:r>
            <w:r>
              <w:rPr>
                <w:rFonts w:hint="eastAsia"/>
                <w:highlight w:val="none"/>
                <w:lang w:eastAsia="zh-CN"/>
              </w:rPr>
              <w:t>——</w:t>
            </w:r>
            <w:r>
              <w:rPr>
                <w:rFonts w:hint="eastAsia"/>
                <w:highlight w:val="none"/>
                <w:lang w:val="en-US" w:eastAsia="zh-CN"/>
              </w:rPr>
              <w:t>不涉及</w:t>
            </w:r>
          </w:p>
          <w:p>
            <w:pPr>
              <w:shd w:val="clear" w:color="auto" w:fill="D6E3BC" w:themeFill="accent3" w:themeFillTint="66"/>
              <w:rPr>
                <w:highlight w:val="none"/>
              </w:rPr>
            </w:pPr>
            <w:r>
              <w:rPr>
                <w:rFonts w:hint="eastAsia"/>
                <w:highlight w:val="none"/>
              </w:rPr>
              <w:t>组织与食品安全相关的</w:t>
            </w:r>
            <w:r>
              <w:rPr>
                <w:highlight w:val="none"/>
              </w:rPr>
              <w:t>监视和测量资源</w:t>
            </w:r>
            <w:r>
              <w:rPr>
                <w:rFonts w:hint="eastAsia"/>
                <w:highlight w:val="none"/>
              </w:rPr>
              <w:t>：</w:t>
            </w:r>
            <w:r>
              <w:rPr>
                <w:rFonts w:hint="eastAsia"/>
                <w:highlight w:val="none"/>
                <w:lang w:eastAsia="zh-CN"/>
              </w:rPr>
              <w:sym w:font="Wingdings 2" w:char="0052"/>
            </w:r>
            <w:r>
              <w:rPr>
                <w:rFonts w:hint="eastAsia"/>
                <w:highlight w:val="none"/>
              </w:rPr>
              <w:t xml:space="preserve">计量器具   </w:t>
            </w:r>
            <w:r>
              <w:rPr>
                <w:rFonts w:hint="eastAsia"/>
                <w:highlight w:val="none"/>
              </w:rPr>
              <w:sym w:font="Wingdings" w:char="00A8"/>
            </w:r>
            <w:r>
              <w:rPr>
                <w:rFonts w:hint="eastAsia"/>
                <w:highlight w:val="none"/>
              </w:rPr>
              <w:t xml:space="preserve">服务流程检查表  </w:t>
            </w:r>
            <w:r>
              <w:rPr>
                <w:rFonts w:hint="eastAsia"/>
                <w:highlight w:val="none"/>
              </w:rPr>
              <w:sym w:font="Wingdings" w:char="00A8"/>
            </w:r>
            <w:r>
              <w:rPr>
                <w:rFonts w:hint="eastAsia"/>
                <w:highlight w:val="none"/>
              </w:rPr>
              <w:t>其他计量器具的</w:t>
            </w:r>
            <w:r>
              <w:rPr>
                <w:highlight w:val="none"/>
              </w:rPr>
              <w:t>测量溯源</w:t>
            </w:r>
            <w:r>
              <w:rPr>
                <w:rFonts w:hint="eastAsia"/>
                <w:highlight w:val="none"/>
              </w:rPr>
              <w:t xml:space="preserve">方法：  </w:t>
            </w:r>
            <w:r>
              <w:rPr>
                <w:rFonts w:hint="eastAsia"/>
                <w:highlight w:val="none"/>
              </w:rPr>
              <w:sym w:font="Wingdings" w:char="00FE"/>
            </w:r>
            <w:r>
              <w:rPr>
                <w:rFonts w:hint="eastAsia"/>
                <w:highlight w:val="none"/>
              </w:rPr>
              <w:t xml:space="preserve">自校   </w:t>
            </w:r>
            <w:r>
              <w:rPr>
                <w:rFonts w:hint="eastAsia"/>
                <w:highlight w:val="none"/>
                <w:lang w:eastAsia="zh-CN"/>
              </w:rPr>
              <w:sym w:font="Wingdings 2" w:char="0052"/>
            </w:r>
            <w:r>
              <w:rPr>
                <w:rFonts w:hint="eastAsia"/>
                <w:highlight w:val="none"/>
              </w:rPr>
              <w:t xml:space="preserve">外校 </w:t>
            </w:r>
          </w:p>
          <w:p>
            <w:pPr>
              <w:shd w:val="clear" w:color="auto" w:fill="D6E3BC" w:themeFill="accent3" w:themeFillTint="66"/>
              <w:rPr>
                <w:highlight w:val="none"/>
              </w:rPr>
            </w:pPr>
            <w:r>
              <w:rPr>
                <w:rFonts w:hint="eastAsia"/>
                <w:highlight w:val="none"/>
              </w:rPr>
              <w:t>国家强检的计量器具有：</w:t>
            </w:r>
            <w:r>
              <w:rPr>
                <w:rFonts w:hint="eastAsia"/>
                <w:highlight w:val="none"/>
                <w:u w:val="single"/>
              </w:rPr>
              <w:t xml:space="preserve">  </w:t>
            </w:r>
            <w:r>
              <w:rPr>
                <w:rFonts w:hint="eastAsia"/>
                <w:highlight w:val="none"/>
                <w:u w:val="single"/>
                <w:lang w:val="en-US" w:eastAsia="zh-CN"/>
              </w:rPr>
              <w:t>恒温培养箱、电子天平 等</w:t>
            </w:r>
            <w:r>
              <w:rPr>
                <w:rFonts w:hint="eastAsia"/>
                <w:highlight w:val="none"/>
                <w:u w:val="single"/>
              </w:rPr>
              <w:t xml:space="preserve">      </w:t>
            </w:r>
            <w:r>
              <w:rPr>
                <w:rFonts w:hint="eastAsia"/>
                <w:highlight w:val="none"/>
              </w:rPr>
              <w:t xml:space="preserve">     （列举1~4种）</w:t>
            </w:r>
          </w:p>
          <w:p>
            <w:pPr>
              <w:shd w:val="clear" w:color="auto" w:fill="D6E3BC" w:themeFill="accent3" w:themeFillTint="66"/>
              <w:rPr>
                <w:rFonts w:hint="default" w:eastAsia="宋体"/>
                <w:color w:val="FF0000"/>
                <w:highlight w:val="yellow"/>
                <w:u w:val="single"/>
                <w:lang w:val="en-US" w:eastAsia="zh-CN"/>
              </w:rPr>
            </w:pPr>
            <w:r>
              <w:rPr>
                <w:rFonts w:hint="eastAsia"/>
                <w:highlight w:val="none"/>
              </w:rPr>
              <w:t>计量器具管理：</w:t>
            </w:r>
            <w:r>
              <w:rPr>
                <w:rFonts w:hint="eastAsia"/>
                <w:highlight w:val="none"/>
                <w:lang w:eastAsia="zh-CN"/>
              </w:rPr>
              <w:sym w:font="Wingdings 2" w:char="0052"/>
            </w:r>
            <w:r>
              <w:rPr>
                <w:rFonts w:hint="eastAsia"/>
                <w:highlight w:val="none"/>
              </w:rPr>
              <w:t xml:space="preserve">进行了定期校准/检定  </w:t>
            </w:r>
            <w:r>
              <w:rPr>
                <w:rFonts w:hint="eastAsia"/>
                <w:highlight w:val="none"/>
              </w:rPr>
              <w:sym w:font="Wingdings" w:char="00A8"/>
            </w:r>
            <w:r>
              <w:rPr>
                <w:rFonts w:hint="eastAsia"/>
                <w:highlight w:val="none"/>
              </w:rPr>
              <w:t>未进行定期校准/检定的有：</w:t>
            </w:r>
            <w:r>
              <w:rPr>
                <w:rFonts w:hint="eastAsia" w:ascii="方正仿宋简体" w:eastAsia="方正仿宋简体"/>
                <w:b/>
                <w:color w:val="FF0000"/>
                <w:u w:val="single"/>
                <w:lang w:val="en-US" w:eastAsia="zh-CN"/>
              </w:rPr>
              <w:t xml:space="preserve">      </w:t>
            </w:r>
          </w:p>
          <w:tbl>
            <w:tblPr>
              <w:tblStyle w:val="12"/>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3"/>
              <w:gridCol w:w="3107"/>
              <w:gridCol w:w="1845"/>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计量器具名称</w:t>
                  </w:r>
                </w:p>
              </w:tc>
              <w:tc>
                <w:tcPr>
                  <w:tcW w:w="3107" w:type="dxa"/>
                </w:tcPr>
                <w:p>
                  <w:r>
                    <w:rPr>
                      <w:rFonts w:hint="eastAsia"/>
                    </w:rPr>
                    <w:t>检定或校准证书编号</w:t>
                  </w:r>
                </w:p>
              </w:tc>
              <w:tc>
                <w:tcPr>
                  <w:tcW w:w="1845" w:type="dxa"/>
                </w:tcPr>
                <w:p>
                  <w:r>
                    <w:rPr>
                      <w:rFonts w:hint="eastAsia"/>
                    </w:rPr>
                    <w:t>有限期限至</w:t>
                  </w:r>
                </w:p>
              </w:tc>
              <w:tc>
                <w:tcPr>
                  <w:tcW w:w="1958" w:type="dxa"/>
                </w:tcPr>
                <w:p>
                  <w:r>
                    <w:rPr>
                      <w:rFonts w:hint="eastAsia"/>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pPr>
                    <w:rPr>
                      <w:rFonts w:hint="eastAsia" w:eastAsia="宋体"/>
                      <w:lang w:eastAsia="zh-CN"/>
                    </w:rPr>
                  </w:pPr>
                  <w:r>
                    <w:rPr>
                      <w:rFonts w:hint="eastAsia"/>
                      <w:lang w:val="en-US" w:eastAsia="zh-CN"/>
                    </w:rPr>
                    <w:t>压力表（22024151）</w:t>
                  </w:r>
                </w:p>
              </w:tc>
              <w:tc>
                <w:tcPr>
                  <w:tcW w:w="3107" w:type="dxa"/>
                </w:tcPr>
                <w:p>
                  <w:pPr>
                    <w:rPr>
                      <w:rFonts w:hint="default" w:eastAsia="宋体"/>
                      <w:lang w:val="en-US" w:eastAsia="zh-CN"/>
                    </w:rPr>
                  </w:pPr>
                  <w:r>
                    <w:rPr>
                      <w:rFonts w:hint="eastAsia"/>
                      <w:lang w:val="en-US" w:eastAsia="zh-CN"/>
                    </w:rPr>
                    <w:t>证书编号：FY第2257583号</w:t>
                  </w:r>
                </w:p>
              </w:tc>
              <w:tc>
                <w:tcPr>
                  <w:tcW w:w="1845" w:type="dxa"/>
                </w:tcPr>
                <w:p>
                  <w:pPr>
                    <w:rPr>
                      <w:rFonts w:hint="default" w:eastAsia="宋体"/>
                      <w:lang w:val="en-US" w:eastAsia="zh-CN"/>
                    </w:rPr>
                  </w:pPr>
                  <w:r>
                    <w:rPr>
                      <w:rFonts w:hint="eastAsia"/>
                    </w:rPr>
                    <w:t>202</w:t>
                  </w:r>
                  <w:r>
                    <w:t>2</w:t>
                  </w:r>
                  <w:r>
                    <w:rPr>
                      <w:rFonts w:hint="eastAsia"/>
                    </w:rPr>
                    <w:t>-</w:t>
                  </w:r>
                  <w:r>
                    <w:rPr>
                      <w:rFonts w:hint="eastAsia"/>
                      <w:lang w:val="en-US" w:eastAsia="zh-CN"/>
                    </w:rPr>
                    <w:t>11-30</w:t>
                  </w:r>
                </w:p>
              </w:tc>
              <w:tc>
                <w:tcPr>
                  <w:tcW w:w="1958" w:type="dxa"/>
                </w:tcPr>
                <w:p>
                  <w:pPr>
                    <w:rPr>
                      <w:rFonts w:hint="eastAsia" w:eastAsia="宋体"/>
                      <w:lang w:val="en-US" w:eastAsia="zh-CN"/>
                    </w:rPr>
                  </w:pPr>
                  <w:r>
                    <w:rPr>
                      <w:rFonts w:hint="eastAsia"/>
                    </w:rPr>
                    <w:sym w:font="Wingdings" w:char="00A8"/>
                  </w:r>
                  <w:r>
                    <w:rPr>
                      <w:rFonts w:hint="eastAsia"/>
                    </w:rPr>
                    <w:t xml:space="preserve">冷冻库 </w:t>
                  </w:r>
                  <w:r>
                    <w:rPr>
                      <w:rFonts w:hint="eastAsia"/>
                    </w:rPr>
                    <w:sym w:font="Wingdings" w:char="00FE"/>
                  </w:r>
                  <w:r>
                    <w:rPr>
                      <w:rFonts w:hint="eastAsia"/>
                      <w:lang w:val="en-US" w:eastAsia="zh-CN"/>
                    </w:rPr>
                    <w:t>检验室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pPr>
                    <w:rPr>
                      <w:rFonts w:hint="default" w:eastAsia="宋体"/>
                      <w:lang w:val="en-US" w:eastAsia="zh-CN"/>
                    </w:rPr>
                  </w:pPr>
                  <w:r>
                    <w:rPr>
                      <w:rFonts w:hint="eastAsia"/>
                      <w:lang w:val="en-US" w:eastAsia="zh-CN"/>
                    </w:rPr>
                    <w:t>仪表恒温水浴锅</w:t>
                  </w:r>
                </w:p>
              </w:tc>
              <w:tc>
                <w:tcPr>
                  <w:tcW w:w="3107" w:type="dxa"/>
                </w:tcPr>
                <w:p>
                  <w:pPr>
                    <w:rPr>
                      <w:rFonts w:hint="default" w:eastAsia="宋体"/>
                      <w:lang w:val="en-US" w:eastAsia="zh-CN"/>
                    </w:rPr>
                  </w:pPr>
                  <w:r>
                    <w:rPr>
                      <w:rFonts w:hint="eastAsia"/>
                      <w:lang w:val="en-US" w:eastAsia="zh-CN"/>
                    </w:rPr>
                    <w:t>证书编号：BG第220208</w:t>
                  </w:r>
                </w:p>
              </w:tc>
              <w:tc>
                <w:tcPr>
                  <w:tcW w:w="1845" w:type="dxa"/>
                </w:tcPr>
                <w:p>
                  <w:pPr>
                    <w:rPr>
                      <w:rFonts w:hint="default" w:eastAsia="宋体"/>
                      <w:lang w:val="en-US" w:eastAsia="zh-CN"/>
                    </w:rPr>
                  </w:pPr>
                  <w:r>
                    <w:rPr>
                      <w:rFonts w:hint="eastAsia"/>
                    </w:rPr>
                    <w:t>2</w:t>
                  </w:r>
                  <w:r>
                    <w:t>02</w:t>
                  </w:r>
                  <w:r>
                    <w:rPr>
                      <w:rFonts w:hint="eastAsia"/>
                      <w:lang w:val="en-US" w:eastAsia="zh-CN"/>
                    </w:rPr>
                    <w:t>3-04-21</w:t>
                  </w:r>
                </w:p>
              </w:tc>
              <w:tc>
                <w:tcPr>
                  <w:tcW w:w="1958" w:type="dxa"/>
                </w:tcPr>
                <w:p>
                  <w:r>
                    <w:rPr>
                      <w:rFonts w:hint="eastAsia"/>
                    </w:rPr>
                    <w:sym w:font="Wingdings" w:char="00A8"/>
                  </w:r>
                  <w:r>
                    <w:rPr>
                      <w:rFonts w:hint="eastAsia"/>
                    </w:rPr>
                    <w:t xml:space="preserve">车间 </w:t>
                  </w:r>
                  <w:r>
                    <w:rPr>
                      <w:rFonts w:hint="eastAsia"/>
                    </w:rPr>
                    <w:sym w:font="Wingdings" w:char="00FE"/>
                  </w:r>
                  <w:r>
                    <w:rPr>
                      <w:rFonts w:hint="eastAsia"/>
                    </w:rPr>
                    <w:t>检验室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pPr>
                    <w:rPr>
                      <w:rFonts w:hint="default" w:eastAsia="宋体"/>
                      <w:lang w:val="en-US" w:eastAsia="zh-CN"/>
                    </w:rPr>
                  </w:pPr>
                  <w:r>
                    <w:rPr>
                      <w:rFonts w:hint="eastAsia"/>
                      <w:lang w:val="en-US" w:eastAsia="zh-CN"/>
                    </w:rPr>
                    <w:t>电热恒温培养箱</w:t>
                  </w:r>
                </w:p>
              </w:tc>
              <w:tc>
                <w:tcPr>
                  <w:tcW w:w="3107" w:type="dxa"/>
                </w:tcPr>
                <w:p>
                  <w:pPr>
                    <w:rPr>
                      <w:rFonts w:hint="eastAsia"/>
                    </w:rPr>
                  </w:pPr>
                  <w:r>
                    <w:rPr>
                      <w:rFonts w:hint="eastAsia"/>
                      <w:lang w:val="en-US" w:eastAsia="zh-CN"/>
                    </w:rPr>
                    <w:t>证书编号：BG第220207</w:t>
                  </w:r>
                </w:p>
              </w:tc>
              <w:tc>
                <w:tcPr>
                  <w:tcW w:w="1845" w:type="dxa"/>
                </w:tcPr>
                <w:p>
                  <w:pPr>
                    <w:rPr>
                      <w:rFonts w:hint="eastAsia"/>
                    </w:rPr>
                  </w:pPr>
                  <w:r>
                    <w:rPr>
                      <w:rFonts w:hint="eastAsia"/>
                    </w:rPr>
                    <w:t>2</w:t>
                  </w:r>
                  <w:r>
                    <w:t>02</w:t>
                  </w:r>
                  <w:r>
                    <w:rPr>
                      <w:rFonts w:hint="eastAsia"/>
                      <w:lang w:val="en-US" w:eastAsia="zh-CN"/>
                    </w:rPr>
                    <w:t>3-04-21</w:t>
                  </w:r>
                </w:p>
              </w:tc>
              <w:tc>
                <w:tcPr>
                  <w:tcW w:w="1958" w:type="dxa"/>
                </w:tcPr>
                <w:p>
                  <w:pPr>
                    <w:rPr>
                      <w:rFonts w:hint="eastAsia"/>
                    </w:rPr>
                  </w:pPr>
                  <w:r>
                    <w:rPr>
                      <w:rFonts w:hint="eastAsia"/>
                    </w:rPr>
                    <w:sym w:font="Wingdings" w:char="00A8"/>
                  </w:r>
                  <w:r>
                    <w:rPr>
                      <w:rFonts w:hint="eastAsia"/>
                    </w:rPr>
                    <w:t xml:space="preserve">车间 </w:t>
                  </w:r>
                  <w:r>
                    <w:rPr>
                      <w:rFonts w:hint="eastAsia"/>
                    </w:rPr>
                    <w:sym w:font="Wingdings" w:char="00FE"/>
                  </w:r>
                  <w:r>
                    <w:rPr>
                      <w:rFonts w:hint="eastAsia"/>
                    </w:rPr>
                    <w:t>检验室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pPr>
                    <w:rPr>
                      <w:rFonts w:hint="eastAsia" w:eastAsia="宋体"/>
                      <w:lang w:eastAsia="zh-CN"/>
                    </w:rPr>
                  </w:pPr>
                  <w:r>
                    <w:rPr>
                      <w:rFonts w:hint="eastAsia"/>
                      <w:lang w:val="en-US" w:eastAsia="zh-CN"/>
                    </w:rPr>
                    <w:t>电子天平</w:t>
                  </w:r>
                </w:p>
              </w:tc>
              <w:tc>
                <w:tcPr>
                  <w:tcW w:w="3107" w:type="dxa"/>
                </w:tcPr>
                <w:p>
                  <w:pPr>
                    <w:rPr>
                      <w:rFonts w:hint="default" w:eastAsia="宋体"/>
                      <w:lang w:val="en-US" w:eastAsia="zh-CN"/>
                    </w:rPr>
                  </w:pPr>
                  <w:r>
                    <w:rPr>
                      <w:rFonts w:hint="eastAsia"/>
                      <w:lang w:val="en-US" w:eastAsia="zh-CN"/>
                    </w:rPr>
                    <w:t>证书编号：ET第220099</w:t>
                  </w:r>
                </w:p>
              </w:tc>
              <w:tc>
                <w:tcPr>
                  <w:tcW w:w="1845" w:type="dxa"/>
                </w:tcPr>
                <w:p>
                  <w:r>
                    <w:rPr>
                      <w:rFonts w:hint="eastAsia"/>
                    </w:rPr>
                    <w:t>2</w:t>
                  </w:r>
                  <w:r>
                    <w:t>02</w:t>
                  </w:r>
                  <w:r>
                    <w:rPr>
                      <w:rFonts w:hint="eastAsia"/>
                      <w:lang w:val="en-US" w:eastAsia="zh-CN"/>
                    </w:rPr>
                    <w:t>3-04-24</w:t>
                  </w:r>
                </w:p>
              </w:tc>
              <w:tc>
                <w:tcPr>
                  <w:tcW w:w="1958" w:type="dxa"/>
                </w:tcPr>
                <w:p>
                  <w:r>
                    <w:rPr>
                      <w:rFonts w:hint="eastAsia"/>
                    </w:rPr>
                    <w:sym w:font="Wingdings" w:char="00A8"/>
                  </w:r>
                  <w:r>
                    <w:rPr>
                      <w:rFonts w:hint="eastAsia"/>
                    </w:rPr>
                    <w:t xml:space="preserve">车间 </w:t>
                  </w:r>
                  <w:r>
                    <w:rPr>
                      <w:rFonts w:hint="eastAsia"/>
                    </w:rPr>
                    <w:sym w:font="Wingdings" w:char="00FE"/>
                  </w:r>
                  <w:r>
                    <w:rPr>
                      <w:rFonts w:hint="eastAsia"/>
                    </w:rPr>
                    <w:t>检验室</w:t>
                  </w:r>
                </w:p>
              </w:tc>
            </w:tr>
          </w:tbl>
          <w:p>
            <w:pPr>
              <w:pStyle w:val="2"/>
              <w:shd w:val="clear" w:fill="D6E3BC" w:themeFill="accent3" w:themeFillTint="66"/>
              <w:ind w:left="0" w:leftChars="0" w:firstLine="0" w:firstLineChars="0"/>
              <w:rPr>
                <w:rFonts w:hint="eastAsia" w:ascii="方正仿宋简体" w:eastAsia="方正仿宋简体"/>
                <w:b/>
                <w:color w:val="FF0000"/>
                <w:highlight w:val="yellow"/>
              </w:rPr>
            </w:pPr>
          </w:p>
          <w:p>
            <w:pPr>
              <w:shd w:val="clear" w:color="auto" w:fill="D6E3BC" w:themeFill="accent3" w:themeFillTint="66"/>
              <w:rPr>
                <w:rFonts w:hint="eastAsia" w:eastAsia="宋体"/>
                <w:lang w:val="en-US" w:eastAsia="zh-CN"/>
              </w:rPr>
            </w:pPr>
            <w:r>
              <w:rPr>
                <w:rFonts w:hint="eastAsia"/>
                <w:highlight w:val="none"/>
              </w:rPr>
              <w:t xml:space="preserve"> </w:t>
            </w:r>
            <w:r>
              <w:rPr>
                <w:rFonts w:hint="eastAsia"/>
                <w:highlight w:val="none"/>
              </w:rPr>
              <w:sym w:font="Wingdings" w:char="00A8"/>
            </w:r>
            <w:r>
              <w:rPr>
                <w:highlight w:val="none"/>
              </w:rPr>
              <w:t>在FSMS中用于监视和测量的软件在使用前</w:t>
            </w:r>
            <w:r>
              <w:rPr>
                <w:rFonts w:hint="eastAsia"/>
                <w:highlight w:val="none"/>
              </w:rPr>
              <w:t>已</w:t>
            </w:r>
            <w:r>
              <w:rPr>
                <w:highlight w:val="none"/>
              </w:rPr>
              <w:t>由组织、软件供应商或第三方进行验证。</w:t>
            </w:r>
            <w:r>
              <w:rPr>
                <w:rFonts w:hint="eastAsia"/>
                <w:highlight w:val="none"/>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fill="D6E3BC" w:themeFill="accent3" w:themeFillTint="66"/>
              <w:rPr>
                <w:b/>
                <w:bCs/>
              </w:rPr>
            </w:pPr>
            <w:r>
              <w:rPr>
                <w:b/>
                <w:bCs/>
              </w:rPr>
              <w:t>与 PRP、危害控制计划有关的验证</w:t>
            </w:r>
          </w:p>
          <w:p>
            <w:pPr>
              <w:shd w:val="clear" w:color="auto" w:fill="D6E3BC" w:themeFill="accent3" w:themeFillTint="66"/>
            </w:pPr>
            <w:r>
              <w:t>组织建立、实施和保持验证活动，规定验证活动的目的、方法、频次和职责。</w:t>
            </w:r>
          </w:p>
          <w:p>
            <w:pPr>
              <w:shd w:val="clear" w:color="auto" w:fill="D6E3BC" w:themeFill="accent3" w:themeFillTint="66"/>
            </w:pPr>
            <w:r>
              <w:t>验证活动应证实：</w:t>
            </w:r>
          </w:p>
          <w:p>
            <w:pPr>
              <w:shd w:val="clear" w:color="auto" w:fill="D6E3BC" w:themeFill="accent3" w:themeFillTint="66"/>
            </w:pPr>
            <w:r>
              <w:t>a) PRP已实施且有效；</w:t>
            </w:r>
          </w:p>
          <w:p>
            <w:pPr>
              <w:shd w:val="clear" w:color="auto" w:fill="D6E3BC" w:themeFill="accent3" w:themeFillTint="66"/>
            </w:pPr>
            <w:r>
              <w:t>b) 危险源控制计划实施有效；</w:t>
            </w:r>
          </w:p>
          <w:p>
            <w:pPr>
              <w:shd w:val="clear" w:color="auto" w:fill="D6E3BC" w:themeFill="accent3" w:themeFillTint="66"/>
            </w:pPr>
            <w:r>
              <w:t>c) 危害水平在确定的可接受水平之内；</w:t>
            </w:r>
          </w:p>
          <w:p>
            <w:pPr>
              <w:shd w:val="clear" w:color="auto" w:fill="D6E3BC" w:themeFill="accent3" w:themeFillTint="66"/>
            </w:pPr>
            <w:r>
              <w:t>d) 危害分析输入的更新</w:t>
            </w:r>
          </w:p>
          <w:p>
            <w:pPr>
              <w:shd w:val="clear" w:color="auto" w:fill="D6E3BC" w:themeFill="accent3" w:themeFillTint="66"/>
            </w:pPr>
            <w:r>
              <w:t>e) 组织确定的其他措施得以实施且有效。</w:t>
            </w:r>
          </w:p>
          <w:p>
            <w:pPr>
              <w:shd w:val="clear" w:color="auto" w:fill="D6E3BC" w:themeFill="accent3" w:themeFillTint="66"/>
            </w:pPr>
            <w:r>
              <w:t>食品安全小组对验证结果进行分析，并将其作为食品安全管理体系绩效评估的输入</w:t>
            </w:r>
          </w:p>
          <w:p>
            <w:pPr>
              <w:shd w:val="clear" w:fill="D6E3BC" w:themeFill="accent3" w:themeFillTint="66"/>
              <w:tabs>
                <w:tab w:val="right" w:pos="3119"/>
              </w:tabs>
              <w:rPr>
                <w:color w:val="0000FF"/>
                <w:szCs w:val="21"/>
                <w:highlight w:val="none"/>
              </w:rPr>
            </w:pPr>
            <w:r>
              <w:rPr>
                <w:rFonts w:hint="eastAsia"/>
                <w:highlight w:val="none"/>
              </w:rPr>
              <w:t>于</w:t>
            </w:r>
            <w:r>
              <w:rPr>
                <w:rFonts w:hint="eastAsia"/>
                <w:color w:val="0000FF"/>
                <w:szCs w:val="21"/>
                <w:highlight w:val="none"/>
                <w:u w:val="single"/>
              </w:rPr>
              <w:t xml:space="preserve">  </w:t>
            </w:r>
            <w:r>
              <w:rPr>
                <w:rFonts w:hint="eastAsia"/>
                <w:color w:val="0000FF"/>
                <w:szCs w:val="21"/>
                <w:highlight w:val="none"/>
                <w:u w:val="single"/>
                <w:lang w:val="en-US" w:eastAsia="zh-CN"/>
              </w:rPr>
              <w:t>2022</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6</w:t>
            </w:r>
            <w:r>
              <w:rPr>
                <w:rFonts w:hint="eastAsia"/>
                <w:color w:val="0000FF"/>
                <w:szCs w:val="21"/>
                <w:highlight w:val="none"/>
              </w:rPr>
              <w:t>月</w:t>
            </w:r>
            <w:r>
              <w:rPr>
                <w:rFonts w:hint="eastAsia"/>
                <w:color w:val="0000FF"/>
                <w:szCs w:val="21"/>
                <w:highlight w:val="none"/>
                <w:u w:val="single"/>
                <w:lang w:val="en-US" w:eastAsia="zh-CN"/>
              </w:rPr>
              <w:t>9</w:t>
            </w:r>
            <w:r>
              <w:rPr>
                <w:rFonts w:hint="eastAsia"/>
                <w:color w:val="0000FF"/>
                <w:szCs w:val="21"/>
                <w:highlight w:val="none"/>
              </w:rPr>
              <w:t>日，进行验证了PRP。</w:t>
            </w:r>
          </w:p>
          <w:p>
            <w:pPr>
              <w:shd w:val="clear" w:fill="D6E3BC" w:themeFill="accent3" w:themeFillTint="66"/>
              <w:tabs>
                <w:tab w:val="right" w:pos="3119"/>
              </w:tabs>
              <w:rPr>
                <w:color w:val="0000FF"/>
                <w:szCs w:val="21"/>
                <w:highlight w:val="none"/>
              </w:rPr>
            </w:pPr>
            <w:r>
              <w:rPr>
                <w:rFonts w:hint="eastAsia"/>
                <w:highlight w:val="none"/>
              </w:rPr>
              <w:t>于</w:t>
            </w:r>
            <w:r>
              <w:rPr>
                <w:rFonts w:hint="eastAsia"/>
                <w:color w:val="0000FF"/>
                <w:szCs w:val="21"/>
                <w:highlight w:val="none"/>
                <w:u w:val="single"/>
              </w:rPr>
              <w:t xml:space="preserve">  </w:t>
            </w:r>
            <w:r>
              <w:rPr>
                <w:rFonts w:hint="eastAsia"/>
                <w:color w:val="0000FF"/>
                <w:szCs w:val="21"/>
                <w:highlight w:val="none"/>
                <w:u w:val="single"/>
                <w:lang w:val="en-US" w:eastAsia="zh-CN"/>
              </w:rPr>
              <w:t>2022</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6</w:t>
            </w:r>
            <w:r>
              <w:rPr>
                <w:rFonts w:hint="eastAsia"/>
                <w:color w:val="0000FF"/>
                <w:szCs w:val="21"/>
                <w:highlight w:val="none"/>
              </w:rPr>
              <w:t>月</w:t>
            </w:r>
            <w:r>
              <w:rPr>
                <w:rFonts w:hint="eastAsia"/>
                <w:color w:val="0000FF"/>
                <w:szCs w:val="21"/>
                <w:highlight w:val="none"/>
                <w:u w:val="single"/>
                <w:lang w:val="en-US" w:eastAsia="zh-CN"/>
              </w:rPr>
              <w:t>10</w:t>
            </w:r>
            <w:r>
              <w:rPr>
                <w:rFonts w:hint="eastAsia"/>
                <w:color w:val="0000FF"/>
                <w:szCs w:val="21"/>
                <w:highlight w:val="none"/>
              </w:rPr>
              <w:t>日，进行验证了危害控制计划。</w:t>
            </w:r>
          </w:p>
          <w:p>
            <w:pPr>
              <w:shd w:val="clear" w:color="auto"/>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pPr>
            <w:r>
              <w:t>组织确保来由有能力并有权发起纠正和纠正措施的指定人员进行评估OPRP和CCPs监测的数据。</w:t>
            </w:r>
          </w:p>
          <w:p>
            <w:pPr>
              <w:shd w:val="clear" w:color="auto"/>
            </w:pPr>
            <w:r>
              <w:t>组织确保当CCP的关键限值超出时， 或OPRP计划失控时， 根据产品的用途和放行要求， 识别和控制受影响的产品。包括：</w:t>
            </w:r>
          </w:p>
          <w:p>
            <w:pPr>
              <w:shd w:val="clear" w:color="auto"/>
            </w:pPr>
            <w:r>
              <w:t>a） 受影响产品的识别、评估和纠正方法，以确保其正确处理；</w:t>
            </w:r>
          </w:p>
          <w:p>
            <w:pPr>
              <w:shd w:val="clear" w:color="auto"/>
            </w:pPr>
            <w:r>
              <w:t>b） 评审所作更正的安排。</w:t>
            </w:r>
          </w:p>
          <w:p>
            <w:pPr>
              <w:shd w:val="clear" w:color="auto"/>
            </w:pPr>
            <w:r>
              <w:t>对不能放行的产品：</w:t>
            </w:r>
          </w:p>
          <w:p>
            <w:pPr>
              <w:shd w:val="clear" w:color="auto"/>
            </w:pPr>
            <w:r>
              <w:t>a) 在组织内或组织外重新加工或进一步加工， 以确保食品安全危害得到消除或降至可接受水平；</w:t>
            </w:r>
          </w:p>
          <w:p>
            <w:pPr>
              <w:shd w:val="clear" w:color="auto"/>
            </w:pPr>
            <w:r>
              <w:t>b) 只要食品链中的食品安全不受影响， 可改做其它用途；</w:t>
            </w:r>
          </w:p>
          <w:p>
            <w:pPr>
              <w:shd w:val="clear" w:color="auto"/>
            </w:pPr>
            <w:r>
              <w:t>c) 销毁和（或）按废物处理。</w:t>
            </w:r>
          </w:p>
          <w:p>
            <w:pPr>
              <w:shd w:val="clear" w:color="auto"/>
            </w:pPr>
          </w:p>
          <w:p>
            <w:pPr>
              <w:shd w:val="clear" w:color="auto"/>
            </w:pPr>
            <w:r>
              <w:rPr>
                <w:rFonts w:hint="eastAsia"/>
              </w:rPr>
              <w:t>近一年来，</w:t>
            </w:r>
            <w:r>
              <w:rPr>
                <w:rFonts w:hint="eastAsia"/>
              </w:rPr>
              <w:sym w:font="Wingdings" w:char="00FE"/>
            </w:r>
            <w:r>
              <w:rPr>
                <w:rFonts w:hint="eastAsia"/>
              </w:rPr>
              <w:t xml:space="preserve">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pPr>
            <w:r>
              <w:rPr>
                <w:b/>
                <w:bCs/>
              </w:rPr>
              <w:t>潜在不安全产品的处置</w:t>
            </w:r>
          </w:p>
          <w:p>
            <w:pPr>
              <w:shd w:val="clear" w:color="auto"/>
            </w:pPr>
            <w:r>
              <w:t>组织采取措施防止潜在的不安全产品进入食物链，证明</w:t>
            </w:r>
            <w:r>
              <w:rPr>
                <w:rFonts w:hint="eastAsia"/>
              </w:rPr>
              <w:t>其</w:t>
            </w:r>
            <w:r>
              <w:t>：</w:t>
            </w:r>
          </w:p>
          <w:p>
            <w:pPr>
              <w:shd w:val="clear" w:color="auto"/>
            </w:pPr>
            <w:r>
              <w:t>a） 相关的食品安全危害降低到规定的可接受水平；</w:t>
            </w:r>
          </w:p>
          <w:p>
            <w:pPr>
              <w:shd w:val="clear" w:color="auto"/>
            </w:pPr>
            <w:r>
              <w:t>b） 相关的食品安全危害将在进入食品链之前降低到可接受的水平；</w:t>
            </w:r>
          </w:p>
          <w:p>
            <w:pPr>
              <w:shd w:val="clear" w:color="auto"/>
            </w:pPr>
            <w:r>
              <w:t>c） 尽管不符合，但产品仍能满足规定的相关食品安全危害的可接受水平。</w:t>
            </w:r>
          </w:p>
          <w:p>
            <w:pPr>
              <w:shd w:val="clear" w:color="auto"/>
            </w:pPr>
            <w:r>
              <w:t>组织将已识别为潜在不安全的产品保留在其控制之中，直到产品经过评估并确定处置为止。</w:t>
            </w:r>
          </w:p>
          <w:p>
            <w:pPr>
              <w:shd w:val="clear" w:color="auto"/>
            </w:pPr>
            <w:r>
              <w:t>如果随后确定离开组织控制的产品不安全，组织应通知相关相关方并启动撤回/召回。</w:t>
            </w:r>
          </w:p>
          <w:p>
            <w:pPr>
              <w:shd w:val="clear" w:color="auto"/>
            </w:pPr>
          </w:p>
          <w:p>
            <w:pPr>
              <w:shd w:val="clear" w:color="auto"/>
            </w:pPr>
            <w:r>
              <w:rPr>
                <w:rFonts w:hint="eastAsia"/>
              </w:rPr>
              <w:t>组织确保对不符合要求的产品或过程进行识别和控制，以防止非预期的使用或交付。</w:t>
            </w:r>
          </w:p>
          <w:p>
            <w:pPr>
              <w:shd w:val="clear" w:color="auto"/>
            </w:pPr>
            <w:r>
              <w:rPr>
                <w:rFonts w:hint="eastAsia"/>
              </w:rPr>
              <w:t>不合格产品或过程控制：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color w:val="0000FF"/>
                <w:u w:val="single"/>
                <w:lang w:eastAsia="zh-CN"/>
              </w:rPr>
              <w:t>——</w:t>
            </w:r>
            <w:r>
              <w:rPr>
                <w:rFonts w:hint="eastAsia"/>
                <w:color w:val="0000FF"/>
                <w:u w:val="single"/>
                <w:lang w:val="en-US" w:eastAsia="zh-CN"/>
              </w:rPr>
              <w:t>审核周期内未发生不合格品情况</w:t>
            </w:r>
            <w:r>
              <w:rPr>
                <w:rFonts w:hint="eastAsia"/>
                <w:color w:val="0000FF"/>
                <w:u w:val="single"/>
              </w:rPr>
              <w:t xml:space="preserve">  </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90"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pPr>
            <w:r>
              <w:rPr>
                <w:rFonts w:hint="eastAsia"/>
              </w:rPr>
              <w:t>产品撤回/召回</w:t>
            </w:r>
          </w:p>
          <w:p>
            <w:pPr>
              <w:shd w:val="clear"/>
              <w:rPr>
                <w:szCs w:val="21"/>
              </w:rPr>
            </w:pPr>
            <w:r>
              <w:rPr>
                <w:rFonts w:hint="eastAsia"/>
                <w:szCs w:val="21"/>
              </w:rPr>
              <w:t>产品</w:t>
            </w:r>
            <w:r>
              <w:rPr>
                <w:rFonts w:hint="eastAsia"/>
              </w:rPr>
              <w:t>撤回/</w:t>
            </w:r>
            <w:r>
              <w:rPr>
                <w:rFonts w:hint="eastAsia"/>
                <w:szCs w:val="21"/>
              </w:rPr>
              <w:t>召回计划包括了下列内容：</w:t>
            </w:r>
          </w:p>
          <w:p>
            <w:pPr>
              <w:widowControl/>
              <w:numPr>
                <w:ilvl w:val="0"/>
                <w:numId w:val="7"/>
              </w:numPr>
              <w:shd w:val="clear"/>
              <w:spacing w:before="40" w:after="40"/>
              <w:rPr>
                <w:szCs w:val="21"/>
              </w:rPr>
            </w:pPr>
            <w:r>
              <w:rPr>
                <w:rFonts w:hint="eastAsia"/>
                <w:szCs w:val="21"/>
              </w:rPr>
              <w:t>启动和实施产品召回计划人员的职责和权限</w:t>
            </w:r>
          </w:p>
          <w:p>
            <w:pPr>
              <w:widowControl/>
              <w:numPr>
                <w:ilvl w:val="0"/>
                <w:numId w:val="7"/>
              </w:numPr>
              <w:shd w:val="clear"/>
              <w:spacing w:before="40" w:after="40"/>
              <w:rPr>
                <w:szCs w:val="21"/>
              </w:rPr>
            </w:pPr>
            <w:r>
              <w:rPr>
                <w:rFonts w:hint="eastAsia"/>
                <w:szCs w:val="21"/>
              </w:rPr>
              <w:t>产品召回行动需符合的相关法律、法规和其他相关要求</w:t>
            </w:r>
          </w:p>
          <w:p>
            <w:pPr>
              <w:widowControl/>
              <w:numPr>
                <w:ilvl w:val="0"/>
                <w:numId w:val="7"/>
              </w:numPr>
              <w:shd w:val="clear"/>
              <w:spacing w:before="40" w:after="40"/>
              <w:rPr>
                <w:szCs w:val="21"/>
              </w:rPr>
            </w:pPr>
            <w:r>
              <w:rPr>
                <w:rFonts w:hint="eastAsia"/>
                <w:szCs w:val="21"/>
              </w:rPr>
              <w:t>制定并实施受安全危害影响产品的召回措施</w:t>
            </w:r>
          </w:p>
          <w:p>
            <w:pPr>
              <w:widowControl/>
              <w:numPr>
                <w:ilvl w:val="0"/>
                <w:numId w:val="7"/>
              </w:numPr>
              <w:shd w:val="clear"/>
              <w:spacing w:before="40" w:after="40"/>
              <w:rPr>
                <w:szCs w:val="21"/>
              </w:rPr>
            </w:pPr>
            <w:r>
              <w:rPr>
                <w:rFonts w:hint="eastAsia"/>
                <w:szCs w:val="21"/>
              </w:rPr>
              <w:t>制定对召回的产品进行分析和处置的措施；</w:t>
            </w:r>
          </w:p>
          <w:p>
            <w:pPr>
              <w:shd w:val="clear"/>
              <w:rPr>
                <w:szCs w:val="21"/>
              </w:rPr>
            </w:pPr>
            <w:r>
              <w:rPr>
                <w:rFonts w:hint="eastAsia"/>
                <w:szCs w:val="21"/>
              </w:rPr>
              <w:t>实际发生的产品召回记录。</w:t>
            </w:r>
          </w:p>
          <w:p>
            <w:pPr>
              <w:shd w:val="clear"/>
              <w:tabs>
                <w:tab w:val="left" w:pos="510"/>
              </w:tabs>
              <w:autoSpaceDE w:val="0"/>
              <w:autoSpaceDN w:val="0"/>
              <w:adjustRightInd w:val="0"/>
              <w:ind w:right="6"/>
            </w:pPr>
            <w:r>
              <w:rPr>
                <w:rFonts w:hint="eastAsia"/>
              </w:rPr>
              <w:t xml:space="preserve">召回的原因分析，采取纠正措施。以下投诉被抽查：   </w:t>
            </w:r>
          </w:p>
          <w:p>
            <w:pPr>
              <w:shd w:val="clear"/>
              <w:tabs>
                <w:tab w:val="left" w:pos="510"/>
              </w:tabs>
              <w:autoSpaceDE w:val="0"/>
              <w:autoSpaceDN w:val="0"/>
              <w:adjustRightInd w:val="0"/>
              <w:ind w:right="6"/>
            </w:pPr>
            <w:r>
              <w:rPr>
                <w:rFonts w:hint="eastAsia"/>
              </w:rPr>
              <w:t>•</w:t>
            </w:r>
            <w:r>
              <w:rPr>
                <w:rFonts w:hint="eastAsia"/>
              </w:rPr>
              <w:tab/>
            </w:r>
            <w:r>
              <w:rPr>
                <w:rFonts w:hint="eastAsia"/>
              </w:rPr>
              <w:sym w:font="Wingdings 2" w:char="0052"/>
            </w:r>
            <w:r>
              <w:rPr>
                <w:rFonts w:hint="eastAsia"/>
              </w:rPr>
              <w:t>该公司没有发生产品召回</w:t>
            </w:r>
          </w:p>
          <w:p>
            <w:pPr>
              <w:shd w:val="clea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年</w:t>
            </w:r>
            <w:r>
              <w:rPr>
                <w:rFonts w:hint="eastAsia"/>
                <w:szCs w:val="21"/>
                <w:lang w:val="en-US" w:eastAsia="zh-CN"/>
              </w:rPr>
              <w:t xml:space="preserve"> </w:t>
            </w:r>
            <w:r>
              <w:rPr>
                <w:rFonts w:hint="eastAsia"/>
                <w:szCs w:val="21"/>
                <w:u w:val="single"/>
                <w:lang w:val="en-US" w:eastAsia="zh-CN"/>
              </w:rPr>
              <w:t xml:space="preserve">    </w:t>
            </w:r>
            <w:r>
              <w:rPr>
                <w:rFonts w:hint="eastAsia"/>
                <w:szCs w:val="21"/>
              </w:rPr>
              <w:t>月</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 xml:space="preserve">良好/  </w:t>
            </w:r>
            <w:r>
              <w:rPr>
                <w:rFonts w:hint="eastAsia"/>
              </w:rPr>
              <w:sym w:font="Wingdings" w:char="00A8"/>
            </w:r>
            <w:r>
              <w:rPr>
                <w:rFonts w:hint="eastAsia"/>
                <w:szCs w:val="21"/>
                <w:u w:val="single"/>
              </w:rPr>
              <w:t xml:space="preserve">欠佳       </w:t>
            </w:r>
          </w:p>
          <w:p>
            <w:pPr>
              <w:shd w:val="clear"/>
              <w:tabs>
                <w:tab w:val="left" w:pos="510"/>
              </w:tabs>
              <w:autoSpaceDE w:val="0"/>
              <w:autoSpaceDN w:val="0"/>
              <w:adjustRightInd w:val="0"/>
              <w:ind w:right="6"/>
              <w:rPr>
                <w:color w:val="0000FF"/>
                <w:szCs w:val="21"/>
                <w:highlight w:val="yellow"/>
                <w:u w:val="single"/>
              </w:rPr>
            </w:pPr>
          </w:p>
          <w:p>
            <w:pPr>
              <w:shd w:val="clear"/>
              <w:tabs>
                <w:tab w:val="left" w:pos="510"/>
              </w:tabs>
              <w:autoSpaceDE w:val="0"/>
              <w:autoSpaceDN w:val="0"/>
              <w:adjustRightInd w:val="0"/>
              <w:ind w:right="6"/>
              <w:rPr>
                <w:szCs w:val="21"/>
                <w:highlight w:val="none"/>
              </w:rPr>
            </w:pPr>
            <w:r>
              <w:rPr>
                <w:rFonts w:hint="eastAsia"/>
                <w:szCs w:val="21"/>
                <w:highlight w:val="none"/>
              </w:rPr>
              <w:t>召回演练记录：</w:t>
            </w:r>
          </w:p>
          <w:p>
            <w:pPr>
              <w:shd w:val="clear"/>
              <w:tabs>
                <w:tab w:val="left" w:pos="510"/>
              </w:tabs>
              <w:autoSpaceDE w:val="0"/>
              <w:autoSpaceDN w:val="0"/>
              <w:adjustRightInd w:val="0"/>
              <w:ind w:right="6"/>
            </w:pPr>
            <w:r>
              <w:rPr>
                <w:rFonts w:hint="eastAsia"/>
                <w:szCs w:val="21"/>
                <w:highlight w:val="none"/>
                <w:u w:val="single"/>
              </w:rPr>
              <w:t xml:space="preserve">    </w:t>
            </w:r>
            <w:r>
              <w:rPr>
                <w:rFonts w:hint="eastAsia"/>
                <w:szCs w:val="21"/>
                <w:highlight w:val="none"/>
                <w:u w:val="single"/>
                <w:lang w:val="en-US" w:eastAsia="zh-CN"/>
              </w:rPr>
              <w:t>2022</w:t>
            </w:r>
            <w:r>
              <w:rPr>
                <w:rFonts w:hint="eastAsia"/>
                <w:szCs w:val="21"/>
                <w:highlight w:val="none"/>
                <w:u w:val="single"/>
              </w:rPr>
              <w:t xml:space="preserve"> </w:t>
            </w:r>
            <w:r>
              <w:rPr>
                <w:rFonts w:hint="eastAsia"/>
                <w:szCs w:val="21"/>
                <w:highlight w:val="none"/>
              </w:rPr>
              <w:t>年</w:t>
            </w:r>
            <w:r>
              <w:rPr>
                <w:rFonts w:hint="eastAsia"/>
                <w:szCs w:val="21"/>
                <w:highlight w:val="none"/>
                <w:lang w:val="en-US" w:eastAsia="zh-CN"/>
              </w:rPr>
              <w:t xml:space="preserve"> </w:t>
            </w:r>
            <w:r>
              <w:rPr>
                <w:rFonts w:hint="eastAsia"/>
                <w:szCs w:val="21"/>
                <w:highlight w:val="none"/>
                <w:u w:val="single"/>
                <w:lang w:val="en-US" w:eastAsia="zh-CN"/>
              </w:rPr>
              <w:t>5</w:t>
            </w:r>
            <w:r>
              <w:rPr>
                <w:rFonts w:hint="eastAsia"/>
                <w:szCs w:val="21"/>
                <w:highlight w:val="none"/>
              </w:rPr>
              <w:t>月</w:t>
            </w:r>
            <w:r>
              <w:rPr>
                <w:rFonts w:hint="eastAsia"/>
                <w:szCs w:val="21"/>
                <w:highlight w:val="none"/>
                <w:u w:val="single"/>
              </w:rPr>
              <w:t xml:space="preserve"> </w:t>
            </w:r>
            <w:r>
              <w:rPr>
                <w:rFonts w:hint="eastAsia"/>
                <w:szCs w:val="21"/>
                <w:highlight w:val="none"/>
                <w:u w:val="single"/>
                <w:lang w:val="en-US" w:eastAsia="zh-CN"/>
              </w:rPr>
              <w:t xml:space="preserve">18 </w:t>
            </w:r>
            <w:r>
              <w:rPr>
                <w:rFonts w:hint="eastAsia"/>
                <w:szCs w:val="21"/>
                <w:highlight w:val="none"/>
              </w:rPr>
              <w:t>日进行了召回演练，产品</w:t>
            </w:r>
            <w:r>
              <w:rPr>
                <w:rFonts w:hint="eastAsia"/>
                <w:szCs w:val="21"/>
                <w:highlight w:val="none"/>
                <w:u w:val="single"/>
              </w:rPr>
              <w:t xml:space="preserve"> 承德食品药监局组织的食品安全监督抽查中，微生物超标。故召回该批产品。【模拟】 </w:t>
            </w:r>
            <w:r>
              <w:rPr>
                <w:rFonts w:hint="eastAsia"/>
                <w:szCs w:val="21"/>
                <w:highlight w:val="none"/>
              </w:rPr>
              <w:t>，批号</w:t>
            </w:r>
            <w:r>
              <w:rPr>
                <w:rFonts w:hint="eastAsia"/>
                <w:szCs w:val="21"/>
                <w:highlight w:val="none"/>
                <w:u w:val="single"/>
              </w:rPr>
              <w:t xml:space="preserve"> 2022</w:t>
            </w:r>
            <w:r>
              <w:rPr>
                <w:rFonts w:hint="eastAsia"/>
                <w:szCs w:val="21"/>
                <w:highlight w:val="none"/>
                <w:u w:val="single"/>
                <w:lang w:val="en-US" w:eastAsia="zh-CN"/>
              </w:rPr>
              <w:t xml:space="preserve">0409 </w:t>
            </w:r>
            <w:r>
              <w:rPr>
                <w:rFonts w:hint="eastAsia"/>
                <w:szCs w:val="21"/>
                <w:highlight w:val="none"/>
              </w:rPr>
              <w:t>，处置有效性</w:t>
            </w:r>
            <w:r>
              <w:rPr>
                <w:rFonts w:hint="eastAsia"/>
                <w:szCs w:val="21"/>
                <w:highlight w:val="none"/>
                <w:u w:val="single"/>
              </w:rPr>
              <w:t xml:space="preserve">  </w:t>
            </w:r>
            <w:r>
              <w:rPr>
                <w:rFonts w:hint="eastAsia"/>
                <w:highlight w:val="none"/>
              </w:rPr>
              <w:sym w:font="Wingdings" w:char="00FE"/>
            </w:r>
            <w:r>
              <w:rPr>
                <w:rFonts w:hint="eastAsia"/>
                <w:szCs w:val="21"/>
                <w:highlight w:val="none"/>
                <w:u w:val="single"/>
              </w:rPr>
              <w:t xml:space="preserve">良好/  </w:t>
            </w:r>
            <w:r>
              <w:rPr>
                <w:rFonts w:hint="eastAsia"/>
                <w:highlight w:val="none"/>
              </w:rPr>
              <w:sym w:font="Wingdings" w:char="00A8"/>
            </w:r>
            <w:r>
              <w:rPr>
                <w:rFonts w:hint="eastAsia"/>
                <w:szCs w:val="21"/>
                <w:highlight w:val="none"/>
                <w:u w:val="single"/>
              </w:rPr>
              <w:t xml:space="preserve">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90" w:hRule="atLeast"/>
        </w:trPr>
        <w:tc>
          <w:tcPr>
            <w:tcW w:w="680" w:type="dxa"/>
            <w:vMerge w:val="restart"/>
            <w:shd w:val="clear" w:color="auto" w:fill="D6E3BC" w:themeFill="accent3" w:themeFillTint="66"/>
          </w:tcPr>
          <w:p>
            <w:pPr>
              <w:shd w:val="clear" w:color="auto" w:fill="D6E3BC" w:themeFill="accent3" w:themeFillTint="66"/>
            </w:pPr>
            <w:r>
              <w:rPr>
                <w:rFonts w:hint="eastAsia"/>
              </w:rPr>
              <w:t>绩效评价</w:t>
            </w:r>
          </w:p>
        </w:tc>
        <w:tc>
          <w:tcPr>
            <w:tcW w:w="9282" w:type="dxa"/>
            <w:shd w:val="clear" w:color="auto" w:fill="D6E3BC" w:themeFill="accent3" w:themeFillTint="66"/>
          </w:tcPr>
          <w:p>
            <w:pPr>
              <w:shd w:val="clear" w:color="auto" w:fill="D6E3BC" w:themeFill="accent3" w:themeFillTint="66"/>
            </w:pPr>
            <w:r>
              <w:rPr>
                <w:rFonts w:hint="eastAsia"/>
              </w:rPr>
              <w:t>组织确定了监视和测量的对象、方法、时机及分析和评价的责任人；评估了食品安全绩效和食品安全管理体系的有效性。</w:t>
            </w:r>
          </w:p>
          <w:p>
            <w:pPr>
              <w:shd w:val="clear" w:color="auto" w:fill="D6E3BC" w:themeFill="accent3" w:themeFillTint="66"/>
            </w:pPr>
            <w:r>
              <w:rPr>
                <w:rFonts w:hint="eastAsia"/>
              </w:rPr>
              <w:t>组织监测和测量产生的数据和信息，包括：</w:t>
            </w:r>
          </w:p>
          <w:p>
            <w:pPr>
              <w:numPr>
                <w:ilvl w:val="0"/>
                <w:numId w:val="8"/>
              </w:numPr>
              <w:shd w:val="clear" w:color="auto" w:fill="D6E3BC" w:themeFill="accent3" w:themeFillTint="66"/>
            </w:pPr>
            <w:r>
              <w:rPr>
                <w:rFonts w:hint="eastAsia"/>
              </w:rPr>
              <w:t>PRP和危害控制计划</w:t>
            </w:r>
          </w:p>
          <w:p>
            <w:pPr>
              <w:numPr>
                <w:ilvl w:val="0"/>
                <w:numId w:val="8"/>
              </w:numPr>
              <w:shd w:val="clear" w:color="auto" w:fill="D6E3BC" w:themeFill="accent3" w:themeFillTint="66"/>
            </w:pPr>
            <w:r>
              <w:rPr>
                <w:rFonts w:hint="eastAsia"/>
              </w:rPr>
              <w:t>内部审核的结果</w:t>
            </w:r>
          </w:p>
          <w:p>
            <w:pPr>
              <w:numPr>
                <w:ilvl w:val="0"/>
                <w:numId w:val="8"/>
              </w:numPr>
              <w:shd w:val="clear" w:color="auto" w:fill="D6E3BC" w:themeFill="accent3" w:themeFillTint="66"/>
            </w:pPr>
            <w:r>
              <w:rPr>
                <w:rFonts w:hint="eastAsia"/>
              </w:rPr>
              <w:t>外部审核的结果。</w:t>
            </w:r>
          </w:p>
          <w:p>
            <w:pPr>
              <w:shd w:val="clear" w:color="auto" w:fill="D6E3BC" w:themeFill="accent3" w:themeFillTint="66"/>
            </w:pPr>
            <w:r>
              <w:rPr>
                <w:rFonts w:hint="eastAsia"/>
              </w:rPr>
              <w:t>进行了分析和评估：</w:t>
            </w:r>
          </w:p>
          <w:p>
            <w:pPr>
              <w:shd w:val="clear" w:color="auto" w:fill="D6E3BC" w:themeFill="accent3" w:themeFillTint="66"/>
            </w:pPr>
            <w:r>
              <w:rPr>
                <w:rFonts w:hint="eastAsia"/>
              </w:rPr>
              <w:t>a） 确认系统的总体绩效满足组织制定的计划安排和FSMS要求；</w:t>
            </w:r>
          </w:p>
          <w:p>
            <w:pPr>
              <w:shd w:val="clear" w:color="auto" w:fill="D6E3BC" w:themeFill="accent3" w:themeFillTint="66"/>
            </w:pPr>
            <w:r>
              <w:rPr>
                <w:rFonts w:hint="eastAsia"/>
              </w:rPr>
              <w:t>b） 确定更新或改进FSMS的必要性；</w:t>
            </w:r>
          </w:p>
          <w:p>
            <w:pPr>
              <w:shd w:val="clear" w:color="auto" w:fill="D6E3BC" w:themeFill="accent3" w:themeFillTint="66"/>
            </w:pPr>
            <w:r>
              <w:rPr>
                <w:rFonts w:hint="eastAsia"/>
              </w:rPr>
              <w:t>c） 识别潜在不安全产品或工艺故障发生率较高的趋势；</w:t>
            </w:r>
          </w:p>
          <w:p>
            <w:pPr>
              <w:shd w:val="clear" w:color="auto" w:fill="D6E3BC" w:themeFill="accent3" w:themeFillTint="66"/>
            </w:pPr>
            <w:r>
              <w:rPr>
                <w:rFonts w:hint="eastAsia"/>
              </w:rPr>
              <w:t>d） 建立与拟审核领域的现状和重要性有关的内部审核方案策划信息；</w:t>
            </w:r>
          </w:p>
          <w:p>
            <w:pPr>
              <w:shd w:val="clear" w:color="auto" w:fill="D6E3BC" w:themeFill="accent3" w:themeFillTint="66"/>
              <w:rPr>
                <w:rFonts w:hint="default" w:eastAsia="宋体"/>
                <w:lang w:val="en-US" w:eastAsia="zh-CN"/>
              </w:rPr>
            </w:pPr>
            <w:r>
              <w:rPr>
                <w:rFonts w:hint="eastAsia"/>
              </w:rPr>
              <w:t>e） 提供纠正和纠正措施有效的证据。</w:t>
            </w:r>
            <w:r>
              <w:rPr>
                <w:rFonts w:hint="eastAsia"/>
                <w:color w:val="0000FF"/>
                <w:lang w:eastAsia="zh-CN"/>
              </w:rPr>
              <w:t>——</w:t>
            </w:r>
            <w:r>
              <w:rPr>
                <w:rFonts w:hint="eastAsia"/>
                <w:color w:val="0000FF"/>
                <w:lang w:val="en-US" w:eastAsia="zh-CN"/>
              </w:rPr>
              <w:t>见验证结果分析报告、内审报告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c>
          <w:tcPr>
            <w:tcW w:w="680" w:type="dxa"/>
            <w:vMerge w:val="continue"/>
            <w:shd w:val="clear" w:color="auto" w:fill="D6E3BC" w:themeFill="accent3" w:themeFillTint="66"/>
          </w:tcPr>
          <w:p>
            <w:pPr>
              <w:shd w:val="clear" w:color="auto" w:fill="D6E3BC" w:themeFill="accent3" w:themeFillTint="66"/>
            </w:pPr>
          </w:p>
        </w:tc>
        <w:tc>
          <w:tcPr>
            <w:tcW w:w="9282" w:type="dxa"/>
            <w:shd w:val="clear" w:color="auto" w:fill="D6E3BC" w:themeFill="accent3" w:themeFillTint="66"/>
          </w:tcPr>
          <w:p>
            <w:pPr>
              <w:shd w:val="clear" w:color="auto" w:fill="D6E3BC" w:themeFill="accent3" w:themeFillTint="6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90" w:hRule="atLeast"/>
        </w:trPr>
        <w:tc>
          <w:tcPr>
            <w:tcW w:w="680" w:type="dxa"/>
            <w:vMerge w:val="continue"/>
            <w:shd w:val="clear" w:color="auto" w:fill="D6E3BC" w:themeFill="accent3" w:themeFillTint="66"/>
          </w:tcPr>
          <w:p>
            <w:pPr>
              <w:shd w:val="clear" w:color="auto" w:fill="D6E3BC" w:themeFill="accent3" w:themeFillTint="66"/>
            </w:pPr>
          </w:p>
        </w:tc>
        <w:tc>
          <w:tcPr>
            <w:tcW w:w="9282" w:type="dxa"/>
            <w:shd w:val="clear" w:color="auto" w:fill="D6E3BC" w:themeFill="accent3" w:themeFillTint="66"/>
          </w:tcPr>
          <w:p>
            <w:pPr>
              <w:shd w:val="clear" w:color="auto" w:fill="D6E3BC" w:themeFill="accent3" w:themeFillTint="66"/>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15-16</w:t>
            </w:r>
            <w:r>
              <w:rPr>
                <w:rFonts w:hint="eastAsia"/>
              </w:rPr>
              <w:t>日实施了食品安全管理体系内部审核，对食品安全管理体系的符合性和有效性进行了审核。内审发现的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D6E3BC" w:themeFill="accent3" w:themeFillTint="66"/>
            </w:pPr>
          </w:p>
          <w:p>
            <w:pPr>
              <w:shd w:val="clear" w:color="auto" w:fill="D6E3BC" w:themeFill="accent3" w:themeFillTint="66"/>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D6E3BC" w:themeFill="accent3" w:themeFillTint="66"/>
            </w:pPr>
            <w:r>
              <w:rPr>
                <w:rFonts w:hint="eastAsia"/>
              </w:rPr>
              <w:sym w:font="Wingdings" w:char="00A8"/>
            </w:r>
            <w:r>
              <w:rPr>
                <w:rFonts w:hint="eastAsia"/>
              </w:rPr>
              <w:t>内审贯穿了多场所/临时现场，内审的验证结论是正面的。管理者代表相应的职权覆盖了所有的场所。）</w:t>
            </w:r>
          </w:p>
          <w:p>
            <w:pPr>
              <w:shd w:val="clear" w:color="auto" w:fill="D6E3BC" w:themeFill="accent3" w:themeFillTint="66"/>
            </w:pPr>
          </w:p>
          <w:p>
            <w:pPr>
              <w:shd w:val="clear" w:color="auto" w:fill="D6E3BC" w:themeFill="accent3" w:themeFillTint="66"/>
            </w:pPr>
            <w:r>
              <w:rPr>
                <w:rFonts w:hint="eastAsia"/>
              </w:rPr>
              <w:t>若是多班次操作：（按照组织的实际情况选择）</w:t>
            </w:r>
          </w:p>
          <w:p>
            <w:pPr>
              <w:shd w:val="clear" w:color="auto" w:fill="D6E3BC" w:themeFill="accent3" w:themeFillTint="66"/>
            </w:pPr>
            <w:r>
              <w:rPr>
                <w:rFonts w:hint="eastAsia"/>
              </w:rPr>
              <w:sym w:font="Wingdings" w:char="00FE"/>
            </w:r>
            <w:r>
              <w:rPr>
                <w:rFonts w:hint="eastAsia"/>
              </w:rPr>
              <w:t>对所有班次的现场操作已审核。</w:t>
            </w:r>
          </w:p>
          <w:p>
            <w:pPr>
              <w:shd w:val="clear" w:color="auto" w:fill="D6E3BC" w:themeFill="accent3" w:themeFillTint="66"/>
            </w:pPr>
            <w:r>
              <w:rPr>
                <w:rFonts w:hint="eastAsia"/>
              </w:rPr>
              <w:sym w:font="Wingdings" w:char="00A8"/>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c>
          <w:tcPr>
            <w:tcW w:w="680" w:type="dxa"/>
            <w:vMerge w:val="continue"/>
            <w:shd w:val="clear" w:color="auto" w:fill="D6E3BC" w:themeFill="accent3" w:themeFillTint="66"/>
          </w:tcPr>
          <w:p>
            <w:pPr>
              <w:shd w:val="clear" w:color="auto" w:fill="D6E3BC" w:themeFill="accent3" w:themeFillTint="66"/>
            </w:pPr>
          </w:p>
        </w:tc>
        <w:tc>
          <w:tcPr>
            <w:tcW w:w="9282" w:type="dxa"/>
            <w:shd w:val="clear" w:color="auto" w:fill="D6E3BC" w:themeFill="accent3" w:themeFillTint="66"/>
          </w:tcPr>
          <w:p>
            <w:pPr>
              <w:shd w:val="clear" w:color="auto" w:fill="D6E3BC" w:themeFill="accent3" w:themeFillTint="66"/>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lang w:val="en-US" w:eastAsia="zh-CN"/>
              </w:rPr>
              <w:t xml:space="preserve">10 </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c>
          <w:tcPr>
            <w:tcW w:w="680" w:type="dxa"/>
            <w:vMerge w:val="restart"/>
            <w:shd w:val="clear" w:color="auto" w:fill="D6E3BC" w:themeFill="accent3" w:themeFillTint="66"/>
          </w:tcPr>
          <w:p>
            <w:pPr>
              <w:shd w:val="clear" w:color="auto" w:fill="D6E3BC" w:themeFill="accent3" w:themeFillTint="66"/>
            </w:pPr>
            <w:r>
              <w:rPr>
                <w:rFonts w:hint="eastAsia"/>
              </w:rPr>
              <w:t>改进</w:t>
            </w:r>
          </w:p>
        </w:tc>
        <w:tc>
          <w:tcPr>
            <w:tcW w:w="9282" w:type="dxa"/>
            <w:shd w:val="clear" w:color="auto" w:fill="D6E3BC" w:themeFill="accent3" w:themeFillTint="66"/>
          </w:tcPr>
          <w:p>
            <w:pPr>
              <w:shd w:val="clear" w:color="auto" w:fill="D6E3BC" w:themeFill="accent3" w:themeFillTint="66"/>
            </w:pPr>
            <w:r>
              <w:rPr>
                <w:rFonts w:hint="eastAsia"/>
              </w:rPr>
              <w:t>组织针对食品安全管理体系运行中的不符合采取了有效纠正和纠正措施。针对下列方面采取了纠正措施：</w:t>
            </w:r>
          </w:p>
          <w:p>
            <w:pPr>
              <w:shd w:val="clear" w:color="auto" w:fill="D6E3BC" w:themeFill="accent3" w:themeFillTint="66"/>
            </w:pPr>
            <w:r>
              <w:rPr>
                <w:rFonts w:hint="eastAsia"/>
              </w:rPr>
              <w:t xml:space="preserve">☑不合格产品/服务 ☑自我验证的结果 ☑顾客投诉  </w:t>
            </w:r>
            <w:r>
              <w:rPr>
                <w:rFonts w:hint="eastAsia"/>
              </w:rPr>
              <w:sym w:font="Wingdings" w:char="00FE"/>
            </w:r>
            <w:r>
              <w:rPr>
                <w:rFonts w:hint="eastAsia"/>
              </w:rPr>
              <w:t xml:space="preserve">食品安全事故  </w:t>
            </w:r>
            <w:r>
              <w:rPr>
                <w:rFonts w:hint="eastAsia"/>
              </w:rPr>
              <w:sym w:font="Wingdings" w:char="00A8"/>
            </w:r>
            <w:r>
              <w:rPr>
                <w:rFonts w:hint="eastAsia"/>
              </w:rPr>
              <w:t>市场抽查不合格</w:t>
            </w:r>
          </w:p>
          <w:p>
            <w:pPr>
              <w:shd w:val="clear" w:color="auto" w:fill="D6E3BC" w:themeFill="accent3" w:themeFillTint="66"/>
              <w:rPr>
                <w:rFonts w:hint="default" w:eastAsia="宋体"/>
                <w:lang w:val="en-US" w:eastAsia="zh-CN"/>
              </w:rPr>
            </w:pPr>
            <w:r>
              <w:rPr>
                <w:rFonts w:hint="eastAsia"/>
              </w:rPr>
              <w:t xml:space="preserve">☑内审不符合项   </w:t>
            </w:r>
            <w:r>
              <w:rPr>
                <w:rFonts w:hint="eastAsia"/>
              </w:rPr>
              <w:sym w:font="Wingdings" w:char="00A8"/>
            </w:r>
            <w:r>
              <w:rPr>
                <w:rFonts w:hint="eastAsia"/>
              </w:rPr>
              <w:t xml:space="preserve">外审不符合项 ☑管理评审   ☑目标统计分析结果   </w:t>
            </w:r>
            <w:r>
              <w:rPr>
                <w:rFonts w:hint="eastAsia"/>
              </w:rPr>
              <w:sym w:font="Wingdings" w:char="00FE"/>
            </w:r>
            <w:r>
              <w:rPr>
                <w:rFonts w:hint="eastAsia"/>
              </w:rPr>
              <w:t>其他</w:t>
            </w:r>
            <w:r>
              <w:rPr>
                <w:rFonts w:hint="eastAsia"/>
                <w:lang w:eastAsia="zh-CN"/>
              </w:rPr>
              <w:t>——</w:t>
            </w:r>
            <w:r>
              <w:rPr>
                <w:rFonts w:hint="eastAsia"/>
                <w:lang w:val="en-US" w:eastAsia="zh-CN"/>
              </w:rPr>
              <w:t>供方要求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c>
          <w:tcPr>
            <w:tcW w:w="680" w:type="dxa"/>
            <w:vMerge w:val="continue"/>
            <w:shd w:val="clear" w:color="auto" w:fill="D6E3BC" w:themeFill="accent3" w:themeFillTint="66"/>
          </w:tcPr>
          <w:p>
            <w:pPr>
              <w:shd w:val="clear" w:color="auto" w:fill="D6E3BC" w:themeFill="accent3" w:themeFillTint="66"/>
            </w:pPr>
          </w:p>
        </w:tc>
        <w:tc>
          <w:tcPr>
            <w:tcW w:w="9282" w:type="dxa"/>
            <w:shd w:val="clear" w:color="auto" w:fill="D6E3BC" w:themeFill="accent3" w:themeFillTint="66"/>
          </w:tcPr>
          <w:p>
            <w:pPr>
              <w:shd w:val="clear" w:color="auto" w:fill="D6E3BC" w:themeFill="accent3" w:themeFillTint="66"/>
            </w:pPr>
            <w:r>
              <w:rPr>
                <w:rFonts w:hint="eastAsia"/>
              </w:rPr>
              <w:t>组织持续改进FSMS的适宜性、充分性和有效性。</w:t>
            </w:r>
          </w:p>
          <w:p>
            <w:pPr>
              <w:shd w:val="clear" w:color="auto" w:fill="D6E3BC" w:themeFill="accent3" w:themeFillTint="66"/>
            </w:pPr>
            <w:r>
              <w:rPr>
                <w:rFonts w:hint="eastAsia"/>
              </w:rPr>
              <w:t>最高管理者应确保组织通过以下活动，持续改进食品安全管理体系的有效性：</w:t>
            </w:r>
          </w:p>
          <w:p>
            <w:pPr>
              <w:shd w:val="clear" w:color="auto" w:fill="D6E3BC" w:themeFill="accent3" w:themeFillTint="66"/>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c>
          <w:tcPr>
            <w:tcW w:w="680" w:type="dxa"/>
            <w:vMerge w:val="continue"/>
            <w:shd w:val="clear" w:color="auto" w:fill="D6E3BC" w:themeFill="accent3" w:themeFillTint="66"/>
          </w:tcPr>
          <w:p>
            <w:pPr>
              <w:shd w:val="clear" w:color="auto" w:fill="D6E3BC" w:themeFill="accent3" w:themeFillTint="66"/>
            </w:pPr>
          </w:p>
        </w:tc>
        <w:tc>
          <w:tcPr>
            <w:tcW w:w="9282" w:type="dxa"/>
            <w:shd w:val="clear" w:color="auto" w:fill="D6E3BC" w:themeFill="accent3" w:themeFillTint="66"/>
          </w:tcPr>
          <w:p>
            <w:pPr>
              <w:shd w:val="clear" w:color="auto" w:fill="D6E3BC" w:themeFill="accent3" w:themeFillTint="66"/>
            </w:pPr>
            <w:r>
              <w:rPr>
                <w:rFonts w:hint="eastAsia"/>
              </w:rPr>
              <w:t>最高管理者建立了确保FSMS持续更新的机制。为此，食品安全小组应按计划间隔对食品安全管理体系进行了评估。</w:t>
            </w:r>
          </w:p>
          <w:p>
            <w:pPr>
              <w:shd w:val="clear" w:color="auto" w:fill="D6E3BC" w:themeFill="accent3" w:themeFillTint="66"/>
              <w:rPr>
                <w:rFonts w:hint="default" w:eastAsia="宋体"/>
                <w:lang w:val="en-US" w:eastAsia="zh-CN"/>
              </w:rPr>
            </w:pPr>
            <w:r>
              <w:rPr>
                <w:rFonts w:hint="eastAsia"/>
              </w:rPr>
              <w:t>系统更新活动作为文件化信息保留，并作为输入报告给管理评审。</w:t>
            </w:r>
            <w:r>
              <w:rPr>
                <w:rFonts w:hint="eastAsia"/>
                <w:lang w:eastAsia="zh-CN"/>
              </w:rPr>
              <w:t>——</w:t>
            </w:r>
            <w:r>
              <w:rPr>
                <w:rFonts w:hint="eastAsia"/>
                <w:lang w:val="en-US" w:eastAsia="zh-CN"/>
              </w:rPr>
              <w:t>审核周期内未发生更新</w:t>
            </w:r>
          </w:p>
        </w:tc>
      </w:tr>
    </w:tbl>
    <w:p>
      <w:pPr>
        <w:shd w:val="clear" w:color="auto" w:fill="D6E3BC" w:themeFill="accent3" w:themeFillTint="66"/>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D6E3BC" w:themeFill="accent3" w:themeFillTint="66"/>
              <w:rPr>
                <w:highlight w:val="none"/>
                <w:lang w:eastAsia="ja-JP"/>
              </w:rPr>
            </w:pPr>
            <w:r>
              <w:rPr>
                <w:rFonts w:hint="eastAsia"/>
                <w:highlight w:val="none"/>
                <w:lang w:val="en-GB"/>
              </w:rPr>
              <w:t>标准条款</w:t>
            </w:r>
          </w:p>
        </w:tc>
        <w:tc>
          <w:tcPr>
            <w:tcW w:w="608" w:type="dxa"/>
            <w:vAlign w:val="center"/>
          </w:tcPr>
          <w:p>
            <w:pPr>
              <w:shd w:val="clear" w:color="auto" w:fill="D6E3BC" w:themeFill="accent3" w:themeFillTint="66"/>
              <w:rPr>
                <w:highlight w:val="none"/>
                <w:lang w:eastAsia="ja-JP"/>
              </w:rPr>
            </w:pPr>
            <w:r>
              <w:rPr>
                <w:rFonts w:hint="eastAsia"/>
                <w:highlight w:val="none"/>
              </w:rPr>
              <w:t>4.1</w:t>
            </w:r>
          </w:p>
        </w:tc>
        <w:tc>
          <w:tcPr>
            <w:tcW w:w="630" w:type="dxa"/>
            <w:vAlign w:val="center"/>
          </w:tcPr>
          <w:p>
            <w:pPr>
              <w:shd w:val="clear" w:color="auto" w:fill="D6E3BC" w:themeFill="accent3" w:themeFillTint="66"/>
              <w:rPr>
                <w:highlight w:val="none"/>
                <w:lang w:eastAsia="ja-JP"/>
              </w:rPr>
            </w:pPr>
            <w:r>
              <w:rPr>
                <w:rFonts w:hint="eastAsia"/>
                <w:highlight w:val="none"/>
              </w:rPr>
              <w:t>4.2</w:t>
            </w:r>
          </w:p>
        </w:tc>
        <w:tc>
          <w:tcPr>
            <w:tcW w:w="615" w:type="dxa"/>
            <w:vAlign w:val="center"/>
          </w:tcPr>
          <w:p>
            <w:pPr>
              <w:shd w:val="clear" w:color="auto" w:fill="D6E3BC" w:themeFill="accent3" w:themeFillTint="66"/>
              <w:rPr>
                <w:highlight w:val="none"/>
                <w:lang w:eastAsia="ja-JP"/>
              </w:rPr>
            </w:pPr>
            <w:r>
              <w:rPr>
                <w:rFonts w:hint="eastAsia"/>
                <w:highlight w:val="none"/>
              </w:rPr>
              <w:t>4.3</w:t>
            </w:r>
          </w:p>
        </w:tc>
        <w:tc>
          <w:tcPr>
            <w:tcW w:w="645" w:type="dxa"/>
            <w:vAlign w:val="center"/>
          </w:tcPr>
          <w:p>
            <w:pPr>
              <w:shd w:val="clear" w:color="auto" w:fill="D6E3BC" w:themeFill="accent3" w:themeFillTint="66"/>
              <w:rPr>
                <w:highlight w:val="none"/>
                <w:lang w:eastAsia="ja-JP"/>
              </w:rPr>
            </w:pPr>
            <w:r>
              <w:rPr>
                <w:rFonts w:hint="eastAsia"/>
                <w:highlight w:val="none"/>
              </w:rPr>
              <w:t>4.4</w:t>
            </w:r>
          </w:p>
        </w:tc>
        <w:tc>
          <w:tcPr>
            <w:tcW w:w="637" w:type="dxa"/>
            <w:vAlign w:val="center"/>
          </w:tcPr>
          <w:p>
            <w:pPr>
              <w:shd w:val="clear" w:color="auto" w:fill="D6E3BC" w:themeFill="accent3" w:themeFillTint="66"/>
              <w:rPr>
                <w:highlight w:val="none"/>
                <w:lang w:eastAsia="ja-JP"/>
              </w:rPr>
            </w:pPr>
            <w:r>
              <w:rPr>
                <w:rFonts w:hint="eastAsia"/>
                <w:highlight w:val="none"/>
              </w:rPr>
              <w:t>5.1</w:t>
            </w:r>
          </w:p>
        </w:tc>
        <w:tc>
          <w:tcPr>
            <w:tcW w:w="623" w:type="dxa"/>
            <w:vAlign w:val="center"/>
          </w:tcPr>
          <w:p>
            <w:pPr>
              <w:shd w:val="clear" w:color="auto" w:fill="D6E3BC" w:themeFill="accent3" w:themeFillTint="66"/>
              <w:rPr>
                <w:highlight w:val="none"/>
                <w:lang w:eastAsia="ja-JP"/>
              </w:rPr>
            </w:pPr>
            <w:r>
              <w:rPr>
                <w:rFonts w:hint="eastAsia"/>
                <w:highlight w:val="none"/>
              </w:rPr>
              <w:t>5.2</w:t>
            </w:r>
          </w:p>
        </w:tc>
        <w:tc>
          <w:tcPr>
            <w:tcW w:w="637" w:type="dxa"/>
            <w:vAlign w:val="center"/>
          </w:tcPr>
          <w:p>
            <w:pPr>
              <w:shd w:val="clear" w:color="auto" w:fill="D6E3BC" w:themeFill="accent3" w:themeFillTint="66"/>
              <w:rPr>
                <w:highlight w:val="none"/>
                <w:lang w:eastAsia="ja-JP"/>
              </w:rPr>
            </w:pPr>
            <w:r>
              <w:rPr>
                <w:rFonts w:hint="eastAsia"/>
                <w:highlight w:val="none"/>
              </w:rPr>
              <w:t>5.3</w:t>
            </w:r>
          </w:p>
        </w:tc>
        <w:tc>
          <w:tcPr>
            <w:tcW w:w="688" w:type="dxa"/>
            <w:vAlign w:val="center"/>
          </w:tcPr>
          <w:p>
            <w:pPr>
              <w:shd w:val="clear" w:color="auto" w:fill="D6E3BC" w:themeFill="accent3" w:themeFillTint="66"/>
              <w:rPr>
                <w:highlight w:val="none"/>
                <w:lang w:eastAsia="ja-JP"/>
              </w:rPr>
            </w:pPr>
            <w:r>
              <w:rPr>
                <w:rFonts w:hint="eastAsia"/>
                <w:highlight w:val="none"/>
              </w:rPr>
              <w:t>6.1</w:t>
            </w:r>
          </w:p>
        </w:tc>
        <w:tc>
          <w:tcPr>
            <w:tcW w:w="600" w:type="dxa"/>
            <w:vAlign w:val="center"/>
          </w:tcPr>
          <w:p>
            <w:pPr>
              <w:shd w:val="clear" w:color="auto" w:fill="D6E3BC" w:themeFill="accent3" w:themeFillTint="66"/>
              <w:rPr>
                <w:highlight w:val="none"/>
              </w:rPr>
            </w:pPr>
            <w:r>
              <w:rPr>
                <w:rFonts w:hint="eastAsia"/>
                <w:highlight w:val="none"/>
              </w:rPr>
              <w:t>6.2</w:t>
            </w:r>
          </w:p>
        </w:tc>
        <w:tc>
          <w:tcPr>
            <w:tcW w:w="587" w:type="dxa"/>
            <w:vAlign w:val="center"/>
          </w:tcPr>
          <w:p>
            <w:pPr>
              <w:shd w:val="clear" w:color="auto" w:fill="D6E3BC" w:themeFill="accent3" w:themeFillTint="66"/>
              <w:rPr>
                <w:highlight w:val="none"/>
              </w:rPr>
            </w:pPr>
            <w:r>
              <w:rPr>
                <w:rFonts w:hint="eastAsia"/>
                <w:highlight w:val="none"/>
              </w:rPr>
              <w:t>6.3</w:t>
            </w:r>
          </w:p>
        </w:tc>
        <w:tc>
          <w:tcPr>
            <w:tcW w:w="650" w:type="dxa"/>
            <w:vAlign w:val="center"/>
          </w:tcPr>
          <w:p>
            <w:pPr>
              <w:shd w:val="clear" w:color="auto" w:fill="D6E3BC" w:themeFill="accent3" w:themeFillTint="66"/>
              <w:rPr>
                <w:highlight w:val="none"/>
                <w:lang w:eastAsia="ja-JP"/>
              </w:rPr>
            </w:pPr>
          </w:p>
        </w:tc>
        <w:tc>
          <w:tcPr>
            <w:tcW w:w="649" w:type="dxa"/>
            <w:vAlign w:val="center"/>
          </w:tcPr>
          <w:p>
            <w:pPr>
              <w:shd w:val="clear" w:color="auto" w:fill="D6E3BC" w:themeFill="accent3" w:themeFillTint="66"/>
              <w:rPr>
                <w:highlight w:val="none"/>
                <w:lang w:eastAsia="ja-JP"/>
              </w:rPr>
            </w:pPr>
          </w:p>
        </w:tc>
        <w:tc>
          <w:tcPr>
            <w:tcW w:w="650" w:type="dxa"/>
            <w:shd w:val="clear" w:color="auto" w:fill="BFBFBF"/>
            <w:vAlign w:val="center"/>
          </w:tcPr>
          <w:p>
            <w:pPr>
              <w:shd w:val="clear" w:color="auto" w:fill="D6E3BC" w:themeFill="accent3" w:themeFillTint="66"/>
              <w:rPr>
                <w:highlight w:val="none"/>
                <w:lang w:eastAsia="ja-JP"/>
              </w:rPr>
            </w:pPr>
          </w:p>
        </w:tc>
        <w:tc>
          <w:tcPr>
            <w:tcW w:w="650" w:type="dxa"/>
            <w:shd w:val="pct25" w:color="auto" w:fill="auto"/>
            <w:vAlign w:val="center"/>
          </w:tcPr>
          <w:p>
            <w:pPr>
              <w:shd w:val="clear" w:color="auto" w:fill="D6E3BC" w:themeFill="accent3" w:themeFillTint="66"/>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D6E3BC" w:themeFill="accent3" w:themeFillTint="66"/>
              <w:rPr>
                <w:highlight w:val="none"/>
                <w:lang w:eastAsia="ja-JP"/>
              </w:rPr>
            </w:pPr>
            <w:r>
              <w:rPr>
                <w:rFonts w:hint="eastAsia"/>
                <w:highlight w:val="none"/>
                <w:lang w:val="en-GB"/>
              </w:rPr>
              <w:t>评价*)</w:t>
            </w:r>
          </w:p>
        </w:tc>
        <w:tc>
          <w:tcPr>
            <w:tcW w:w="608" w:type="dxa"/>
            <w:vAlign w:val="center"/>
          </w:tcPr>
          <w:p>
            <w:pPr>
              <w:shd w:val="clear" w:color="auto" w:fill="D6E3BC" w:themeFill="accent3" w:themeFillTint="66"/>
              <w:rPr>
                <w:rFonts w:hint="eastAsia" w:eastAsia="宋体"/>
                <w:highlight w:val="none"/>
                <w:lang w:val="en-US" w:eastAsia="zh-CN"/>
              </w:rPr>
            </w:pPr>
            <w:r>
              <w:rPr>
                <w:rFonts w:hint="eastAsia"/>
                <w:highlight w:val="none"/>
                <w:lang w:val="en-US" w:eastAsia="zh-CN"/>
              </w:rPr>
              <w:t>1</w:t>
            </w:r>
          </w:p>
        </w:tc>
        <w:tc>
          <w:tcPr>
            <w:tcW w:w="630"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15"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45"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37"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23"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37"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88"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00"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587"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50" w:type="dxa"/>
            <w:vAlign w:val="center"/>
          </w:tcPr>
          <w:p>
            <w:pPr>
              <w:shd w:val="clear" w:color="auto" w:fill="D6E3BC" w:themeFill="accent3" w:themeFillTint="66"/>
              <w:rPr>
                <w:highlight w:val="none"/>
                <w:lang w:eastAsia="ja-JP"/>
              </w:rPr>
            </w:pPr>
          </w:p>
        </w:tc>
        <w:tc>
          <w:tcPr>
            <w:tcW w:w="649" w:type="dxa"/>
            <w:vAlign w:val="center"/>
          </w:tcPr>
          <w:p>
            <w:pPr>
              <w:shd w:val="clear" w:color="auto" w:fill="D6E3BC" w:themeFill="accent3" w:themeFillTint="66"/>
              <w:rPr>
                <w:highlight w:val="none"/>
                <w:lang w:eastAsia="ja-JP"/>
              </w:rPr>
            </w:pPr>
          </w:p>
        </w:tc>
        <w:tc>
          <w:tcPr>
            <w:tcW w:w="650" w:type="dxa"/>
            <w:shd w:val="clear" w:color="auto" w:fill="BFBFBF"/>
            <w:vAlign w:val="center"/>
          </w:tcPr>
          <w:p>
            <w:pPr>
              <w:shd w:val="clear" w:color="auto" w:fill="D6E3BC" w:themeFill="accent3" w:themeFillTint="66"/>
              <w:rPr>
                <w:highlight w:val="none"/>
                <w:lang w:eastAsia="ja-JP"/>
              </w:rPr>
            </w:pPr>
          </w:p>
        </w:tc>
        <w:tc>
          <w:tcPr>
            <w:tcW w:w="650" w:type="dxa"/>
            <w:shd w:val="pct25" w:color="auto" w:fill="auto"/>
            <w:vAlign w:val="center"/>
          </w:tcPr>
          <w:p>
            <w:pPr>
              <w:shd w:val="clear" w:color="auto" w:fill="D6E3BC" w:themeFill="accent3" w:themeFillTint="66"/>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D6E3BC" w:themeFill="accent3" w:themeFillTint="66"/>
              <w:rPr>
                <w:highlight w:val="none"/>
              </w:rPr>
            </w:pPr>
            <w:r>
              <w:rPr>
                <w:rFonts w:hint="eastAsia"/>
                <w:highlight w:val="none"/>
              </w:rPr>
              <w:t>不符合数量</w:t>
            </w:r>
          </w:p>
        </w:tc>
        <w:tc>
          <w:tcPr>
            <w:tcW w:w="608" w:type="dxa"/>
            <w:vAlign w:val="center"/>
          </w:tcPr>
          <w:p>
            <w:pPr>
              <w:shd w:val="clear" w:color="auto" w:fill="D6E3BC" w:themeFill="accent3" w:themeFillTint="66"/>
              <w:rPr>
                <w:highlight w:val="none"/>
                <w:lang w:eastAsia="ja-JP"/>
              </w:rPr>
            </w:pPr>
          </w:p>
        </w:tc>
        <w:tc>
          <w:tcPr>
            <w:tcW w:w="630" w:type="dxa"/>
            <w:vAlign w:val="center"/>
          </w:tcPr>
          <w:p>
            <w:pPr>
              <w:shd w:val="clear" w:color="auto" w:fill="D6E3BC" w:themeFill="accent3" w:themeFillTint="66"/>
              <w:rPr>
                <w:highlight w:val="none"/>
                <w:lang w:eastAsia="ja-JP"/>
              </w:rPr>
            </w:pPr>
          </w:p>
        </w:tc>
        <w:tc>
          <w:tcPr>
            <w:tcW w:w="615" w:type="dxa"/>
            <w:vAlign w:val="center"/>
          </w:tcPr>
          <w:p>
            <w:pPr>
              <w:shd w:val="clear" w:color="auto" w:fill="D6E3BC" w:themeFill="accent3" w:themeFillTint="66"/>
              <w:rPr>
                <w:highlight w:val="none"/>
                <w:lang w:eastAsia="ja-JP"/>
              </w:rPr>
            </w:pPr>
          </w:p>
        </w:tc>
        <w:tc>
          <w:tcPr>
            <w:tcW w:w="645" w:type="dxa"/>
            <w:vAlign w:val="center"/>
          </w:tcPr>
          <w:p>
            <w:pPr>
              <w:shd w:val="clear" w:color="auto" w:fill="D6E3BC" w:themeFill="accent3" w:themeFillTint="66"/>
              <w:rPr>
                <w:highlight w:val="none"/>
                <w:lang w:eastAsia="ja-JP"/>
              </w:rPr>
            </w:pPr>
          </w:p>
        </w:tc>
        <w:tc>
          <w:tcPr>
            <w:tcW w:w="637" w:type="dxa"/>
            <w:vAlign w:val="center"/>
          </w:tcPr>
          <w:p>
            <w:pPr>
              <w:shd w:val="clear" w:color="auto" w:fill="D6E3BC" w:themeFill="accent3" w:themeFillTint="66"/>
              <w:rPr>
                <w:highlight w:val="none"/>
                <w:lang w:eastAsia="ja-JP"/>
              </w:rPr>
            </w:pPr>
          </w:p>
        </w:tc>
        <w:tc>
          <w:tcPr>
            <w:tcW w:w="623" w:type="dxa"/>
            <w:vAlign w:val="center"/>
          </w:tcPr>
          <w:p>
            <w:pPr>
              <w:shd w:val="clear" w:color="auto" w:fill="D6E3BC" w:themeFill="accent3" w:themeFillTint="66"/>
              <w:rPr>
                <w:highlight w:val="none"/>
                <w:lang w:eastAsia="ja-JP"/>
              </w:rPr>
            </w:pPr>
          </w:p>
        </w:tc>
        <w:tc>
          <w:tcPr>
            <w:tcW w:w="637" w:type="dxa"/>
            <w:vAlign w:val="center"/>
          </w:tcPr>
          <w:p>
            <w:pPr>
              <w:shd w:val="clear" w:color="auto" w:fill="D6E3BC" w:themeFill="accent3" w:themeFillTint="66"/>
              <w:rPr>
                <w:highlight w:val="none"/>
                <w:lang w:eastAsia="ja-JP"/>
              </w:rPr>
            </w:pPr>
          </w:p>
        </w:tc>
        <w:tc>
          <w:tcPr>
            <w:tcW w:w="688" w:type="dxa"/>
            <w:vAlign w:val="center"/>
          </w:tcPr>
          <w:p>
            <w:pPr>
              <w:shd w:val="clear" w:color="auto" w:fill="D6E3BC" w:themeFill="accent3" w:themeFillTint="66"/>
              <w:rPr>
                <w:highlight w:val="none"/>
                <w:lang w:eastAsia="ja-JP"/>
              </w:rPr>
            </w:pPr>
          </w:p>
        </w:tc>
        <w:tc>
          <w:tcPr>
            <w:tcW w:w="600" w:type="dxa"/>
            <w:vAlign w:val="center"/>
          </w:tcPr>
          <w:p>
            <w:pPr>
              <w:shd w:val="clear" w:color="auto" w:fill="D6E3BC" w:themeFill="accent3" w:themeFillTint="66"/>
              <w:rPr>
                <w:highlight w:val="none"/>
                <w:lang w:eastAsia="ja-JP"/>
              </w:rPr>
            </w:pPr>
          </w:p>
        </w:tc>
        <w:tc>
          <w:tcPr>
            <w:tcW w:w="587" w:type="dxa"/>
            <w:vAlign w:val="center"/>
          </w:tcPr>
          <w:p>
            <w:pPr>
              <w:shd w:val="clear" w:color="auto" w:fill="D6E3BC" w:themeFill="accent3" w:themeFillTint="66"/>
              <w:rPr>
                <w:highlight w:val="none"/>
                <w:lang w:eastAsia="ja-JP"/>
              </w:rPr>
            </w:pPr>
          </w:p>
        </w:tc>
        <w:tc>
          <w:tcPr>
            <w:tcW w:w="650" w:type="dxa"/>
            <w:vAlign w:val="center"/>
          </w:tcPr>
          <w:p>
            <w:pPr>
              <w:shd w:val="clear" w:color="auto" w:fill="D6E3BC" w:themeFill="accent3" w:themeFillTint="66"/>
              <w:rPr>
                <w:highlight w:val="none"/>
                <w:lang w:eastAsia="ja-JP"/>
              </w:rPr>
            </w:pPr>
          </w:p>
        </w:tc>
        <w:tc>
          <w:tcPr>
            <w:tcW w:w="649" w:type="dxa"/>
            <w:vAlign w:val="center"/>
          </w:tcPr>
          <w:p>
            <w:pPr>
              <w:shd w:val="clear" w:color="auto" w:fill="D6E3BC" w:themeFill="accent3" w:themeFillTint="66"/>
              <w:rPr>
                <w:highlight w:val="none"/>
                <w:lang w:eastAsia="ja-JP"/>
              </w:rPr>
            </w:pPr>
          </w:p>
        </w:tc>
        <w:tc>
          <w:tcPr>
            <w:tcW w:w="650" w:type="dxa"/>
            <w:shd w:val="clear" w:color="auto" w:fill="BFBFBF"/>
            <w:vAlign w:val="center"/>
          </w:tcPr>
          <w:p>
            <w:pPr>
              <w:shd w:val="clear" w:color="auto" w:fill="D6E3BC" w:themeFill="accent3" w:themeFillTint="66"/>
              <w:rPr>
                <w:highlight w:val="none"/>
                <w:lang w:eastAsia="ja-JP"/>
              </w:rPr>
            </w:pPr>
          </w:p>
        </w:tc>
        <w:tc>
          <w:tcPr>
            <w:tcW w:w="650" w:type="dxa"/>
            <w:shd w:val="pct25" w:color="auto" w:fill="auto"/>
            <w:vAlign w:val="center"/>
          </w:tcPr>
          <w:p>
            <w:pPr>
              <w:shd w:val="clear" w:color="auto" w:fill="D6E3BC" w:themeFill="accent3" w:themeFillTint="66"/>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D6E3BC" w:themeFill="accent3" w:themeFillTint="66"/>
              <w:rPr>
                <w:highlight w:val="none"/>
                <w:lang w:eastAsia="ja-JP"/>
              </w:rPr>
            </w:pPr>
            <w:r>
              <w:rPr>
                <w:rFonts w:hint="eastAsia"/>
                <w:highlight w:val="none"/>
                <w:lang w:val="en-GB"/>
              </w:rPr>
              <w:t>标准条款</w:t>
            </w:r>
          </w:p>
        </w:tc>
        <w:tc>
          <w:tcPr>
            <w:tcW w:w="608" w:type="dxa"/>
            <w:vAlign w:val="center"/>
          </w:tcPr>
          <w:p>
            <w:pPr>
              <w:shd w:val="clear" w:color="auto" w:fill="D6E3BC" w:themeFill="accent3" w:themeFillTint="66"/>
              <w:rPr>
                <w:highlight w:val="none"/>
                <w:lang w:eastAsia="ja-JP"/>
              </w:rPr>
            </w:pPr>
            <w:r>
              <w:rPr>
                <w:rFonts w:hint="eastAsia"/>
                <w:highlight w:val="none"/>
              </w:rPr>
              <w:t>7.1</w:t>
            </w:r>
          </w:p>
        </w:tc>
        <w:tc>
          <w:tcPr>
            <w:tcW w:w="630" w:type="dxa"/>
            <w:vAlign w:val="center"/>
          </w:tcPr>
          <w:p>
            <w:pPr>
              <w:shd w:val="clear" w:color="auto" w:fill="D6E3BC" w:themeFill="accent3" w:themeFillTint="66"/>
              <w:rPr>
                <w:highlight w:val="none"/>
                <w:lang w:eastAsia="ja-JP"/>
              </w:rPr>
            </w:pPr>
            <w:r>
              <w:rPr>
                <w:rFonts w:hint="eastAsia"/>
                <w:highlight w:val="none"/>
              </w:rPr>
              <w:t>7.2</w:t>
            </w:r>
          </w:p>
        </w:tc>
        <w:tc>
          <w:tcPr>
            <w:tcW w:w="615" w:type="dxa"/>
            <w:vAlign w:val="center"/>
          </w:tcPr>
          <w:p>
            <w:pPr>
              <w:shd w:val="clear" w:color="auto" w:fill="D6E3BC" w:themeFill="accent3" w:themeFillTint="66"/>
              <w:rPr>
                <w:highlight w:val="none"/>
                <w:lang w:eastAsia="ja-JP"/>
              </w:rPr>
            </w:pPr>
            <w:r>
              <w:rPr>
                <w:rFonts w:hint="eastAsia"/>
                <w:highlight w:val="none"/>
              </w:rPr>
              <w:t>7.3</w:t>
            </w:r>
          </w:p>
        </w:tc>
        <w:tc>
          <w:tcPr>
            <w:tcW w:w="645" w:type="dxa"/>
            <w:vAlign w:val="center"/>
          </w:tcPr>
          <w:p>
            <w:pPr>
              <w:shd w:val="clear" w:color="auto" w:fill="D6E3BC" w:themeFill="accent3" w:themeFillTint="66"/>
              <w:rPr>
                <w:highlight w:val="none"/>
                <w:lang w:eastAsia="ja-JP"/>
              </w:rPr>
            </w:pPr>
            <w:r>
              <w:rPr>
                <w:rFonts w:hint="eastAsia"/>
                <w:highlight w:val="none"/>
              </w:rPr>
              <w:t>7.4</w:t>
            </w:r>
          </w:p>
        </w:tc>
        <w:tc>
          <w:tcPr>
            <w:tcW w:w="637" w:type="dxa"/>
            <w:vAlign w:val="center"/>
          </w:tcPr>
          <w:p>
            <w:pPr>
              <w:shd w:val="clear" w:color="auto" w:fill="D6E3BC" w:themeFill="accent3" w:themeFillTint="66"/>
              <w:rPr>
                <w:highlight w:val="none"/>
                <w:lang w:eastAsia="ja-JP"/>
              </w:rPr>
            </w:pPr>
            <w:r>
              <w:rPr>
                <w:rFonts w:hint="eastAsia"/>
                <w:highlight w:val="none"/>
              </w:rPr>
              <w:t>7.5</w:t>
            </w:r>
          </w:p>
        </w:tc>
        <w:tc>
          <w:tcPr>
            <w:tcW w:w="623" w:type="dxa"/>
            <w:vAlign w:val="center"/>
          </w:tcPr>
          <w:p>
            <w:pPr>
              <w:shd w:val="clear" w:color="auto" w:fill="D6E3BC" w:themeFill="accent3" w:themeFillTint="66"/>
              <w:rPr>
                <w:highlight w:val="none"/>
                <w:lang w:eastAsia="ja-JP"/>
              </w:rPr>
            </w:pPr>
            <w:r>
              <w:rPr>
                <w:rFonts w:hint="eastAsia"/>
                <w:highlight w:val="none"/>
              </w:rPr>
              <w:t>8.1</w:t>
            </w:r>
          </w:p>
        </w:tc>
        <w:tc>
          <w:tcPr>
            <w:tcW w:w="637" w:type="dxa"/>
            <w:vAlign w:val="center"/>
          </w:tcPr>
          <w:p>
            <w:pPr>
              <w:shd w:val="clear" w:color="auto" w:fill="D6E3BC" w:themeFill="accent3" w:themeFillTint="66"/>
              <w:rPr>
                <w:highlight w:val="none"/>
                <w:lang w:eastAsia="ja-JP"/>
              </w:rPr>
            </w:pPr>
            <w:r>
              <w:rPr>
                <w:rFonts w:hint="eastAsia"/>
                <w:highlight w:val="none"/>
              </w:rPr>
              <w:t>8.2</w:t>
            </w:r>
          </w:p>
        </w:tc>
        <w:tc>
          <w:tcPr>
            <w:tcW w:w="688" w:type="dxa"/>
            <w:vAlign w:val="center"/>
          </w:tcPr>
          <w:p>
            <w:pPr>
              <w:shd w:val="clear" w:color="auto" w:fill="D6E3BC" w:themeFill="accent3" w:themeFillTint="66"/>
              <w:rPr>
                <w:highlight w:val="none"/>
                <w:lang w:eastAsia="ja-JP"/>
              </w:rPr>
            </w:pPr>
            <w:r>
              <w:rPr>
                <w:rFonts w:hint="eastAsia"/>
                <w:highlight w:val="none"/>
              </w:rPr>
              <w:t>8.3</w:t>
            </w:r>
          </w:p>
        </w:tc>
        <w:tc>
          <w:tcPr>
            <w:tcW w:w="600" w:type="dxa"/>
            <w:vAlign w:val="center"/>
          </w:tcPr>
          <w:p>
            <w:pPr>
              <w:shd w:val="clear" w:color="auto" w:fill="D6E3BC" w:themeFill="accent3" w:themeFillTint="66"/>
              <w:rPr>
                <w:highlight w:val="none"/>
              </w:rPr>
            </w:pPr>
            <w:r>
              <w:rPr>
                <w:rFonts w:hint="eastAsia"/>
                <w:highlight w:val="none"/>
              </w:rPr>
              <w:t>8.4</w:t>
            </w:r>
          </w:p>
        </w:tc>
        <w:tc>
          <w:tcPr>
            <w:tcW w:w="587" w:type="dxa"/>
            <w:vAlign w:val="center"/>
          </w:tcPr>
          <w:p>
            <w:pPr>
              <w:shd w:val="clear" w:color="auto" w:fill="D6E3BC" w:themeFill="accent3" w:themeFillTint="66"/>
              <w:rPr>
                <w:highlight w:val="none"/>
              </w:rPr>
            </w:pPr>
            <w:r>
              <w:rPr>
                <w:rFonts w:hint="eastAsia"/>
                <w:highlight w:val="none"/>
              </w:rPr>
              <w:t>8.5</w:t>
            </w:r>
          </w:p>
        </w:tc>
        <w:tc>
          <w:tcPr>
            <w:tcW w:w="650" w:type="dxa"/>
            <w:vAlign w:val="center"/>
          </w:tcPr>
          <w:p>
            <w:pPr>
              <w:shd w:val="clear" w:color="auto" w:fill="D6E3BC" w:themeFill="accent3" w:themeFillTint="66"/>
              <w:rPr>
                <w:highlight w:val="none"/>
                <w:lang w:eastAsia="ja-JP"/>
              </w:rPr>
            </w:pPr>
            <w:r>
              <w:rPr>
                <w:rFonts w:hint="eastAsia"/>
                <w:highlight w:val="none"/>
              </w:rPr>
              <w:t>8.6</w:t>
            </w:r>
          </w:p>
        </w:tc>
        <w:tc>
          <w:tcPr>
            <w:tcW w:w="649" w:type="dxa"/>
            <w:vAlign w:val="center"/>
          </w:tcPr>
          <w:p>
            <w:pPr>
              <w:shd w:val="clear" w:color="auto" w:fill="D6E3BC" w:themeFill="accent3" w:themeFillTint="66"/>
              <w:rPr>
                <w:highlight w:val="none"/>
                <w:lang w:eastAsia="ja-JP"/>
              </w:rPr>
            </w:pPr>
            <w:r>
              <w:rPr>
                <w:rFonts w:hint="eastAsia"/>
                <w:highlight w:val="none"/>
              </w:rPr>
              <w:t>8.7</w:t>
            </w:r>
          </w:p>
        </w:tc>
        <w:tc>
          <w:tcPr>
            <w:tcW w:w="650" w:type="dxa"/>
            <w:vAlign w:val="center"/>
          </w:tcPr>
          <w:p>
            <w:pPr>
              <w:shd w:val="clear" w:color="auto" w:fill="D6E3BC" w:themeFill="accent3" w:themeFillTint="66"/>
              <w:rPr>
                <w:highlight w:val="none"/>
                <w:lang w:eastAsia="ja-JP"/>
              </w:rPr>
            </w:pPr>
            <w:r>
              <w:rPr>
                <w:rFonts w:hint="eastAsia"/>
                <w:highlight w:val="none"/>
              </w:rPr>
              <w:t>8.8</w:t>
            </w:r>
          </w:p>
        </w:tc>
        <w:tc>
          <w:tcPr>
            <w:tcW w:w="650" w:type="dxa"/>
            <w:vAlign w:val="center"/>
          </w:tcPr>
          <w:p>
            <w:pPr>
              <w:shd w:val="clear" w:color="auto" w:fill="D6E3BC" w:themeFill="accent3" w:themeFillTint="66"/>
              <w:rPr>
                <w:highlight w:val="none"/>
                <w:lang w:eastAsia="ja-JP"/>
              </w:rPr>
            </w:pPr>
            <w:r>
              <w:rPr>
                <w:rFonts w:hint="eastAsia"/>
                <w:highlight w:val="none"/>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D6E3BC" w:themeFill="accent3" w:themeFillTint="66"/>
              <w:rPr>
                <w:highlight w:val="none"/>
                <w:lang w:eastAsia="ja-JP"/>
              </w:rPr>
            </w:pPr>
            <w:r>
              <w:rPr>
                <w:rFonts w:hint="eastAsia"/>
                <w:highlight w:val="none"/>
                <w:lang w:val="en-GB"/>
              </w:rPr>
              <w:t>评价*)</w:t>
            </w:r>
          </w:p>
        </w:tc>
        <w:tc>
          <w:tcPr>
            <w:tcW w:w="608"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30" w:type="dxa"/>
            <w:vAlign w:val="center"/>
          </w:tcPr>
          <w:p>
            <w:pPr>
              <w:shd w:val="clear" w:color="auto" w:fill="D6E3BC" w:themeFill="accent3" w:themeFillTint="66"/>
              <w:rPr>
                <w:highlight w:val="none"/>
                <w:lang w:eastAsia="ja-JP"/>
              </w:rPr>
            </w:pPr>
            <w:r>
              <w:rPr>
                <w:rFonts w:hint="eastAsia"/>
                <w:highlight w:val="none"/>
                <w:lang w:val="en-US" w:eastAsia="zh-CN"/>
              </w:rPr>
              <w:t>3</w:t>
            </w:r>
          </w:p>
        </w:tc>
        <w:tc>
          <w:tcPr>
            <w:tcW w:w="615"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45"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37"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23"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37"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88"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00"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587"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50"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49"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50"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50" w:type="dxa"/>
            <w:vAlign w:val="center"/>
          </w:tcPr>
          <w:p>
            <w:pPr>
              <w:shd w:val="clear" w:color="auto" w:fill="D6E3BC" w:themeFill="accent3" w:themeFillTint="66"/>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D6E3BC" w:themeFill="accent3" w:themeFillTint="66"/>
              <w:rPr>
                <w:highlight w:val="none"/>
                <w:lang w:eastAsia="ja-JP"/>
              </w:rPr>
            </w:pPr>
            <w:r>
              <w:rPr>
                <w:rFonts w:hint="eastAsia"/>
                <w:highlight w:val="none"/>
              </w:rPr>
              <w:t>不符合数量</w:t>
            </w:r>
          </w:p>
        </w:tc>
        <w:tc>
          <w:tcPr>
            <w:tcW w:w="608" w:type="dxa"/>
            <w:vAlign w:val="center"/>
          </w:tcPr>
          <w:p>
            <w:pPr>
              <w:shd w:val="clear" w:color="auto" w:fill="D6E3BC" w:themeFill="accent3" w:themeFillTint="66"/>
              <w:rPr>
                <w:rFonts w:hint="default" w:eastAsia="宋体"/>
                <w:highlight w:val="none"/>
                <w:lang w:val="en-US" w:eastAsia="zh-CN"/>
              </w:rPr>
            </w:pPr>
          </w:p>
        </w:tc>
        <w:tc>
          <w:tcPr>
            <w:tcW w:w="630" w:type="dxa"/>
            <w:vAlign w:val="center"/>
          </w:tcPr>
          <w:p>
            <w:pPr>
              <w:shd w:val="clear" w:color="auto" w:fill="D6E3BC" w:themeFill="accent3" w:themeFillTint="66"/>
              <w:rPr>
                <w:rFonts w:hint="default" w:eastAsia="宋体"/>
                <w:highlight w:val="none"/>
                <w:lang w:val="en-US" w:eastAsia="zh-CN"/>
              </w:rPr>
            </w:pPr>
            <w:r>
              <w:rPr>
                <w:rFonts w:hint="eastAsia"/>
                <w:highlight w:val="none"/>
                <w:lang w:val="en-US" w:eastAsia="zh-CN"/>
              </w:rPr>
              <w:t>01</w:t>
            </w:r>
          </w:p>
        </w:tc>
        <w:tc>
          <w:tcPr>
            <w:tcW w:w="615" w:type="dxa"/>
            <w:vAlign w:val="center"/>
          </w:tcPr>
          <w:p>
            <w:pPr>
              <w:shd w:val="clear" w:color="auto" w:fill="D6E3BC" w:themeFill="accent3" w:themeFillTint="66"/>
              <w:rPr>
                <w:highlight w:val="none"/>
                <w:lang w:eastAsia="ja-JP"/>
              </w:rPr>
            </w:pPr>
          </w:p>
        </w:tc>
        <w:tc>
          <w:tcPr>
            <w:tcW w:w="645" w:type="dxa"/>
            <w:vAlign w:val="center"/>
          </w:tcPr>
          <w:p>
            <w:pPr>
              <w:shd w:val="clear" w:color="auto" w:fill="D6E3BC" w:themeFill="accent3" w:themeFillTint="66"/>
              <w:rPr>
                <w:highlight w:val="none"/>
                <w:lang w:eastAsia="ja-JP"/>
              </w:rPr>
            </w:pPr>
          </w:p>
        </w:tc>
        <w:tc>
          <w:tcPr>
            <w:tcW w:w="637" w:type="dxa"/>
            <w:vAlign w:val="center"/>
          </w:tcPr>
          <w:p>
            <w:pPr>
              <w:shd w:val="clear" w:color="auto" w:fill="D6E3BC" w:themeFill="accent3" w:themeFillTint="66"/>
              <w:rPr>
                <w:highlight w:val="none"/>
                <w:lang w:eastAsia="ja-JP"/>
              </w:rPr>
            </w:pPr>
          </w:p>
        </w:tc>
        <w:tc>
          <w:tcPr>
            <w:tcW w:w="623" w:type="dxa"/>
            <w:vAlign w:val="center"/>
          </w:tcPr>
          <w:p>
            <w:pPr>
              <w:shd w:val="clear" w:color="auto" w:fill="D6E3BC" w:themeFill="accent3" w:themeFillTint="66"/>
              <w:rPr>
                <w:highlight w:val="none"/>
                <w:lang w:eastAsia="ja-JP"/>
              </w:rPr>
            </w:pPr>
          </w:p>
        </w:tc>
        <w:tc>
          <w:tcPr>
            <w:tcW w:w="637" w:type="dxa"/>
            <w:tcBorders>
              <w:bottom w:val="single" w:color="auto" w:sz="4" w:space="0"/>
            </w:tcBorders>
            <w:vAlign w:val="center"/>
          </w:tcPr>
          <w:p>
            <w:pPr>
              <w:shd w:val="clear" w:color="auto" w:fill="D6E3BC" w:themeFill="accent3" w:themeFillTint="66"/>
              <w:rPr>
                <w:highlight w:val="none"/>
                <w:lang w:eastAsia="ja-JP"/>
              </w:rPr>
            </w:pPr>
          </w:p>
        </w:tc>
        <w:tc>
          <w:tcPr>
            <w:tcW w:w="688" w:type="dxa"/>
            <w:tcBorders>
              <w:bottom w:val="single" w:color="auto" w:sz="4" w:space="0"/>
            </w:tcBorders>
            <w:vAlign w:val="center"/>
          </w:tcPr>
          <w:p>
            <w:pPr>
              <w:shd w:val="clear" w:color="auto" w:fill="D6E3BC" w:themeFill="accent3" w:themeFillTint="66"/>
              <w:rPr>
                <w:highlight w:val="none"/>
                <w:lang w:eastAsia="ja-JP"/>
              </w:rPr>
            </w:pPr>
          </w:p>
        </w:tc>
        <w:tc>
          <w:tcPr>
            <w:tcW w:w="600" w:type="dxa"/>
            <w:tcBorders>
              <w:bottom w:val="single" w:color="auto" w:sz="4" w:space="0"/>
            </w:tcBorders>
            <w:vAlign w:val="center"/>
          </w:tcPr>
          <w:p>
            <w:pPr>
              <w:shd w:val="clear" w:color="auto" w:fill="D6E3BC" w:themeFill="accent3" w:themeFillTint="66"/>
              <w:rPr>
                <w:highlight w:val="none"/>
                <w:lang w:eastAsia="ja-JP"/>
              </w:rPr>
            </w:pPr>
          </w:p>
        </w:tc>
        <w:tc>
          <w:tcPr>
            <w:tcW w:w="587" w:type="dxa"/>
            <w:tcBorders>
              <w:bottom w:val="single" w:color="auto" w:sz="4" w:space="0"/>
            </w:tcBorders>
            <w:vAlign w:val="center"/>
          </w:tcPr>
          <w:p>
            <w:pPr>
              <w:shd w:val="clear" w:color="auto" w:fill="D6E3BC" w:themeFill="accent3" w:themeFillTint="66"/>
              <w:rPr>
                <w:highlight w:val="none"/>
                <w:lang w:eastAsia="ja-JP"/>
              </w:rPr>
            </w:pPr>
          </w:p>
        </w:tc>
        <w:tc>
          <w:tcPr>
            <w:tcW w:w="650" w:type="dxa"/>
            <w:tcBorders>
              <w:bottom w:val="single" w:color="auto" w:sz="4" w:space="0"/>
            </w:tcBorders>
            <w:vAlign w:val="center"/>
          </w:tcPr>
          <w:p>
            <w:pPr>
              <w:shd w:val="clear" w:color="auto" w:fill="D6E3BC" w:themeFill="accent3" w:themeFillTint="66"/>
              <w:rPr>
                <w:highlight w:val="none"/>
                <w:lang w:eastAsia="ja-JP"/>
              </w:rPr>
            </w:pPr>
          </w:p>
        </w:tc>
        <w:tc>
          <w:tcPr>
            <w:tcW w:w="649" w:type="dxa"/>
            <w:tcBorders>
              <w:bottom w:val="single" w:color="auto" w:sz="4" w:space="0"/>
            </w:tcBorders>
            <w:vAlign w:val="center"/>
          </w:tcPr>
          <w:p>
            <w:pPr>
              <w:shd w:val="clear" w:color="auto" w:fill="D6E3BC" w:themeFill="accent3" w:themeFillTint="66"/>
              <w:rPr>
                <w:rFonts w:hint="default" w:eastAsia="宋体"/>
                <w:highlight w:val="none"/>
                <w:lang w:val="en-US" w:eastAsia="zh-CN"/>
              </w:rPr>
            </w:pPr>
          </w:p>
        </w:tc>
        <w:tc>
          <w:tcPr>
            <w:tcW w:w="650" w:type="dxa"/>
            <w:tcBorders>
              <w:bottom w:val="single" w:color="auto" w:sz="4" w:space="0"/>
            </w:tcBorders>
            <w:vAlign w:val="center"/>
          </w:tcPr>
          <w:p>
            <w:pPr>
              <w:shd w:val="clear" w:color="auto" w:fill="D6E3BC" w:themeFill="accent3" w:themeFillTint="66"/>
              <w:rPr>
                <w:highlight w:val="none"/>
                <w:lang w:eastAsia="ja-JP"/>
              </w:rPr>
            </w:pPr>
          </w:p>
        </w:tc>
        <w:tc>
          <w:tcPr>
            <w:tcW w:w="650" w:type="dxa"/>
            <w:tcBorders>
              <w:bottom w:val="single" w:color="auto" w:sz="4" w:space="0"/>
            </w:tcBorders>
            <w:vAlign w:val="center"/>
          </w:tcPr>
          <w:p>
            <w:pPr>
              <w:shd w:val="clear" w:color="auto" w:fill="D6E3BC" w:themeFill="accent3" w:themeFillTint="66"/>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D6E3BC" w:themeFill="accent3" w:themeFillTint="66"/>
              <w:rPr>
                <w:highlight w:val="none"/>
                <w:lang w:eastAsia="ja-JP"/>
              </w:rPr>
            </w:pPr>
            <w:r>
              <w:rPr>
                <w:rFonts w:hint="eastAsia"/>
                <w:highlight w:val="none"/>
                <w:lang w:val="en-GB"/>
              </w:rPr>
              <w:t>标准条款</w:t>
            </w:r>
          </w:p>
        </w:tc>
        <w:tc>
          <w:tcPr>
            <w:tcW w:w="608" w:type="dxa"/>
            <w:vAlign w:val="center"/>
          </w:tcPr>
          <w:p>
            <w:pPr>
              <w:shd w:val="clear" w:color="auto" w:fill="D6E3BC" w:themeFill="accent3" w:themeFillTint="66"/>
              <w:rPr>
                <w:highlight w:val="none"/>
                <w:lang w:eastAsia="ja-JP"/>
              </w:rPr>
            </w:pPr>
            <w:r>
              <w:rPr>
                <w:rFonts w:hint="eastAsia"/>
                <w:highlight w:val="none"/>
              </w:rPr>
              <w:t>9.1</w:t>
            </w:r>
          </w:p>
        </w:tc>
        <w:tc>
          <w:tcPr>
            <w:tcW w:w="630" w:type="dxa"/>
            <w:vAlign w:val="center"/>
          </w:tcPr>
          <w:p>
            <w:pPr>
              <w:shd w:val="clear" w:color="auto" w:fill="D6E3BC" w:themeFill="accent3" w:themeFillTint="66"/>
              <w:rPr>
                <w:highlight w:val="none"/>
                <w:lang w:eastAsia="ja-JP"/>
              </w:rPr>
            </w:pPr>
            <w:r>
              <w:rPr>
                <w:rFonts w:hint="eastAsia"/>
                <w:highlight w:val="none"/>
              </w:rPr>
              <w:t>9.2</w:t>
            </w:r>
          </w:p>
        </w:tc>
        <w:tc>
          <w:tcPr>
            <w:tcW w:w="615" w:type="dxa"/>
            <w:vAlign w:val="center"/>
          </w:tcPr>
          <w:p>
            <w:pPr>
              <w:shd w:val="clear" w:color="auto" w:fill="D6E3BC" w:themeFill="accent3" w:themeFillTint="66"/>
              <w:rPr>
                <w:highlight w:val="none"/>
                <w:lang w:eastAsia="ja-JP"/>
              </w:rPr>
            </w:pPr>
            <w:r>
              <w:rPr>
                <w:rFonts w:hint="eastAsia"/>
                <w:highlight w:val="none"/>
              </w:rPr>
              <w:t>9.3</w:t>
            </w:r>
          </w:p>
        </w:tc>
        <w:tc>
          <w:tcPr>
            <w:tcW w:w="645" w:type="dxa"/>
            <w:vAlign w:val="center"/>
          </w:tcPr>
          <w:p>
            <w:pPr>
              <w:shd w:val="clear" w:color="auto" w:fill="D6E3BC" w:themeFill="accent3" w:themeFillTint="66"/>
              <w:rPr>
                <w:highlight w:val="none"/>
                <w:lang w:eastAsia="ja-JP"/>
              </w:rPr>
            </w:pPr>
            <w:r>
              <w:rPr>
                <w:rFonts w:hint="eastAsia"/>
                <w:highlight w:val="none"/>
              </w:rPr>
              <w:t>10.1</w:t>
            </w:r>
          </w:p>
        </w:tc>
        <w:tc>
          <w:tcPr>
            <w:tcW w:w="637" w:type="dxa"/>
            <w:vAlign w:val="center"/>
          </w:tcPr>
          <w:p>
            <w:pPr>
              <w:shd w:val="clear" w:color="auto" w:fill="D6E3BC" w:themeFill="accent3" w:themeFillTint="66"/>
              <w:rPr>
                <w:highlight w:val="none"/>
                <w:lang w:eastAsia="ja-JP"/>
              </w:rPr>
            </w:pPr>
            <w:r>
              <w:rPr>
                <w:rFonts w:hint="eastAsia"/>
                <w:highlight w:val="none"/>
              </w:rPr>
              <w:t>10.2</w:t>
            </w:r>
          </w:p>
        </w:tc>
        <w:tc>
          <w:tcPr>
            <w:tcW w:w="623" w:type="dxa"/>
            <w:vAlign w:val="center"/>
          </w:tcPr>
          <w:p>
            <w:pPr>
              <w:shd w:val="clear" w:color="auto" w:fill="D6E3BC" w:themeFill="accent3" w:themeFillTint="66"/>
              <w:rPr>
                <w:highlight w:val="none"/>
                <w:lang w:eastAsia="ja-JP"/>
              </w:rPr>
            </w:pPr>
            <w:r>
              <w:rPr>
                <w:rFonts w:hint="eastAsia"/>
                <w:highlight w:val="none"/>
              </w:rPr>
              <w:t>10.3</w:t>
            </w:r>
          </w:p>
        </w:tc>
        <w:tc>
          <w:tcPr>
            <w:tcW w:w="637" w:type="dxa"/>
            <w:shd w:val="pct25" w:color="auto" w:fill="auto"/>
            <w:vAlign w:val="center"/>
          </w:tcPr>
          <w:p>
            <w:pPr>
              <w:shd w:val="clear" w:color="auto" w:fill="D6E3BC" w:themeFill="accent3" w:themeFillTint="66"/>
              <w:rPr>
                <w:highlight w:val="none"/>
                <w:lang w:eastAsia="ja-JP"/>
              </w:rPr>
            </w:pPr>
          </w:p>
        </w:tc>
        <w:tc>
          <w:tcPr>
            <w:tcW w:w="688" w:type="dxa"/>
            <w:shd w:val="pct25" w:color="auto" w:fill="auto"/>
            <w:vAlign w:val="center"/>
          </w:tcPr>
          <w:p>
            <w:pPr>
              <w:shd w:val="clear" w:color="auto" w:fill="D6E3BC" w:themeFill="accent3" w:themeFillTint="66"/>
              <w:rPr>
                <w:highlight w:val="none"/>
                <w:lang w:eastAsia="ja-JP"/>
              </w:rPr>
            </w:pPr>
          </w:p>
        </w:tc>
        <w:tc>
          <w:tcPr>
            <w:tcW w:w="600" w:type="dxa"/>
            <w:shd w:val="pct25" w:color="auto" w:fill="auto"/>
            <w:vAlign w:val="center"/>
          </w:tcPr>
          <w:p>
            <w:pPr>
              <w:shd w:val="clear" w:color="auto" w:fill="D6E3BC" w:themeFill="accent3" w:themeFillTint="66"/>
              <w:rPr>
                <w:highlight w:val="none"/>
                <w:lang w:eastAsia="ja-JP"/>
              </w:rPr>
            </w:pPr>
          </w:p>
        </w:tc>
        <w:tc>
          <w:tcPr>
            <w:tcW w:w="587" w:type="dxa"/>
            <w:shd w:val="pct25" w:color="auto" w:fill="auto"/>
            <w:vAlign w:val="center"/>
          </w:tcPr>
          <w:p>
            <w:pPr>
              <w:shd w:val="clear" w:color="auto" w:fill="D6E3BC" w:themeFill="accent3" w:themeFillTint="66"/>
              <w:rPr>
                <w:highlight w:val="none"/>
                <w:lang w:eastAsia="ja-JP"/>
              </w:rPr>
            </w:pPr>
          </w:p>
        </w:tc>
        <w:tc>
          <w:tcPr>
            <w:tcW w:w="650" w:type="dxa"/>
            <w:shd w:val="pct25" w:color="auto" w:fill="auto"/>
            <w:vAlign w:val="center"/>
          </w:tcPr>
          <w:p>
            <w:pPr>
              <w:shd w:val="clear" w:color="auto" w:fill="D6E3BC" w:themeFill="accent3" w:themeFillTint="66"/>
              <w:rPr>
                <w:highlight w:val="none"/>
                <w:lang w:eastAsia="ja-JP"/>
              </w:rPr>
            </w:pPr>
          </w:p>
        </w:tc>
        <w:tc>
          <w:tcPr>
            <w:tcW w:w="649" w:type="dxa"/>
            <w:shd w:val="pct25" w:color="auto" w:fill="auto"/>
            <w:vAlign w:val="center"/>
          </w:tcPr>
          <w:p>
            <w:pPr>
              <w:shd w:val="clear" w:color="auto" w:fill="D6E3BC" w:themeFill="accent3" w:themeFillTint="66"/>
              <w:rPr>
                <w:highlight w:val="none"/>
                <w:lang w:eastAsia="ja-JP"/>
              </w:rPr>
            </w:pPr>
          </w:p>
        </w:tc>
        <w:tc>
          <w:tcPr>
            <w:tcW w:w="650" w:type="dxa"/>
            <w:shd w:val="pct25" w:color="auto" w:fill="auto"/>
            <w:vAlign w:val="center"/>
          </w:tcPr>
          <w:p>
            <w:pPr>
              <w:shd w:val="clear" w:color="auto" w:fill="D6E3BC" w:themeFill="accent3" w:themeFillTint="66"/>
              <w:rPr>
                <w:highlight w:val="none"/>
                <w:lang w:eastAsia="ja-JP"/>
              </w:rPr>
            </w:pPr>
          </w:p>
        </w:tc>
        <w:tc>
          <w:tcPr>
            <w:tcW w:w="650" w:type="dxa"/>
            <w:shd w:val="pct25" w:color="auto" w:fill="auto"/>
            <w:vAlign w:val="center"/>
          </w:tcPr>
          <w:p>
            <w:pPr>
              <w:shd w:val="clear" w:color="auto" w:fill="D6E3BC" w:themeFill="accent3" w:themeFillTint="66"/>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D6E3BC" w:themeFill="accent3" w:themeFillTint="66"/>
              <w:rPr>
                <w:highlight w:val="none"/>
                <w:lang w:eastAsia="ja-JP"/>
              </w:rPr>
            </w:pPr>
            <w:r>
              <w:rPr>
                <w:rFonts w:hint="eastAsia"/>
                <w:highlight w:val="none"/>
                <w:lang w:val="en-GB"/>
              </w:rPr>
              <w:t>评价*)</w:t>
            </w:r>
          </w:p>
        </w:tc>
        <w:tc>
          <w:tcPr>
            <w:tcW w:w="608"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30"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15"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45"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37"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23"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37" w:type="dxa"/>
            <w:shd w:val="pct25" w:color="auto" w:fill="auto"/>
            <w:vAlign w:val="center"/>
          </w:tcPr>
          <w:p>
            <w:pPr>
              <w:shd w:val="clear" w:color="auto" w:fill="D6E3BC" w:themeFill="accent3" w:themeFillTint="66"/>
              <w:rPr>
                <w:highlight w:val="none"/>
                <w:lang w:eastAsia="ja-JP"/>
              </w:rPr>
            </w:pPr>
          </w:p>
        </w:tc>
        <w:tc>
          <w:tcPr>
            <w:tcW w:w="688" w:type="dxa"/>
            <w:shd w:val="pct25" w:color="auto" w:fill="auto"/>
            <w:vAlign w:val="center"/>
          </w:tcPr>
          <w:p>
            <w:pPr>
              <w:shd w:val="clear" w:color="auto" w:fill="D6E3BC" w:themeFill="accent3" w:themeFillTint="66"/>
              <w:rPr>
                <w:highlight w:val="none"/>
                <w:lang w:eastAsia="ja-JP"/>
              </w:rPr>
            </w:pPr>
          </w:p>
        </w:tc>
        <w:tc>
          <w:tcPr>
            <w:tcW w:w="600" w:type="dxa"/>
            <w:shd w:val="pct25" w:color="auto" w:fill="auto"/>
            <w:vAlign w:val="center"/>
          </w:tcPr>
          <w:p>
            <w:pPr>
              <w:shd w:val="clear" w:color="auto" w:fill="D6E3BC" w:themeFill="accent3" w:themeFillTint="66"/>
              <w:rPr>
                <w:highlight w:val="none"/>
                <w:lang w:eastAsia="ja-JP"/>
              </w:rPr>
            </w:pPr>
          </w:p>
        </w:tc>
        <w:tc>
          <w:tcPr>
            <w:tcW w:w="587" w:type="dxa"/>
            <w:shd w:val="pct25" w:color="auto" w:fill="auto"/>
            <w:vAlign w:val="center"/>
          </w:tcPr>
          <w:p>
            <w:pPr>
              <w:shd w:val="clear" w:color="auto" w:fill="D6E3BC" w:themeFill="accent3" w:themeFillTint="66"/>
              <w:rPr>
                <w:highlight w:val="none"/>
                <w:lang w:eastAsia="ja-JP"/>
              </w:rPr>
            </w:pPr>
          </w:p>
        </w:tc>
        <w:tc>
          <w:tcPr>
            <w:tcW w:w="650" w:type="dxa"/>
            <w:shd w:val="pct25" w:color="auto" w:fill="auto"/>
            <w:vAlign w:val="center"/>
          </w:tcPr>
          <w:p>
            <w:pPr>
              <w:shd w:val="clear" w:color="auto" w:fill="D6E3BC" w:themeFill="accent3" w:themeFillTint="66"/>
              <w:rPr>
                <w:highlight w:val="none"/>
                <w:lang w:eastAsia="ja-JP"/>
              </w:rPr>
            </w:pPr>
          </w:p>
        </w:tc>
        <w:tc>
          <w:tcPr>
            <w:tcW w:w="649" w:type="dxa"/>
            <w:shd w:val="pct25" w:color="auto" w:fill="auto"/>
            <w:vAlign w:val="center"/>
          </w:tcPr>
          <w:p>
            <w:pPr>
              <w:shd w:val="clear" w:color="auto" w:fill="D6E3BC" w:themeFill="accent3" w:themeFillTint="66"/>
              <w:rPr>
                <w:highlight w:val="none"/>
                <w:lang w:eastAsia="ja-JP"/>
              </w:rPr>
            </w:pPr>
          </w:p>
        </w:tc>
        <w:tc>
          <w:tcPr>
            <w:tcW w:w="650" w:type="dxa"/>
            <w:shd w:val="pct25" w:color="auto" w:fill="auto"/>
            <w:vAlign w:val="center"/>
          </w:tcPr>
          <w:p>
            <w:pPr>
              <w:shd w:val="clear" w:color="auto" w:fill="D6E3BC" w:themeFill="accent3" w:themeFillTint="66"/>
              <w:rPr>
                <w:highlight w:val="none"/>
                <w:lang w:eastAsia="ja-JP"/>
              </w:rPr>
            </w:pPr>
          </w:p>
        </w:tc>
        <w:tc>
          <w:tcPr>
            <w:tcW w:w="650" w:type="dxa"/>
            <w:shd w:val="pct25" w:color="auto" w:fill="auto"/>
            <w:vAlign w:val="center"/>
          </w:tcPr>
          <w:p>
            <w:pPr>
              <w:shd w:val="clear" w:color="auto" w:fill="D6E3BC" w:themeFill="accent3" w:themeFillTint="66"/>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D6E3BC" w:themeFill="accent3" w:themeFillTint="66"/>
              <w:rPr>
                <w:highlight w:val="none"/>
                <w:lang w:eastAsia="ja-JP"/>
              </w:rPr>
            </w:pPr>
            <w:r>
              <w:rPr>
                <w:rFonts w:hint="eastAsia"/>
                <w:highlight w:val="none"/>
              </w:rPr>
              <w:t>不符合数量</w:t>
            </w:r>
          </w:p>
        </w:tc>
        <w:tc>
          <w:tcPr>
            <w:tcW w:w="608" w:type="dxa"/>
            <w:vAlign w:val="center"/>
          </w:tcPr>
          <w:p>
            <w:pPr>
              <w:shd w:val="clear" w:color="auto" w:fill="D6E3BC" w:themeFill="accent3" w:themeFillTint="66"/>
              <w:rPr>
                <w:highlight w:val="none"/>
                <w:lang w:eastAsia="ja-JP"/>
              </w:rPr>
            </w:pPr>
          </w:p>
        </w:tc>
        <w:tc>
          <w:tcPr>
            <w:tcW w:w="630" w:type="dxa"/>
            <w:vAlign w:val="center"/>
          </w:tcPr>
          <w:p>
            <w:pPr>
              <w:shd w:val="clear" w:color="auto" w:fill="D6E3BC" w:themeFill="accent3" w:themeFillTint="66"/>
              <w:rPr>
                <w:highlight w:val="none"/>
                <w:lang w:eastAsia="ja-JP"/>
              </w:rPr>
            </w:pPr>
          </w:p>
        </w:tc>
        <w:tc>
          <w:tcPr>
            <w:tcW w:w="615" w:type="dxa"/>
            <w:vAlign w:val="center"/>
          </w:tcPr>
          <w:p>
            <w:pPr>
              <w:shd w:val="clear" w:color="auto" w:fill="D6E3BC" w:themeFill="accent3" w:themeFillTint="66"/>
              <w:rPr>
                <w:highlight w:val="none"/>
                <w:lang w:eastAsia="ja-JP"/>
              </w:rPr>
            </w:pPr>
          </w:p>
        </w:tc>
        <w:tc>
          <w:tcPr>
            <w:tcW w:w="645" w:type="dxa"/>
            <w:vAlign w:val="center"/>
          </w:tcPr>
          <w:p>
            <w:pPr>
              <w:shd w:val="clear" w:color="auto" w:fill="D6E3BC" w:themeFill="accent3" w:themeFillTint="66"/>
              <w:rPr>
                <w:highlight w:val="none"/>
                <w:lang w:eastAsia="ja-JP"/>
              </w:rPr>
            </w:pPr>
          </w:p>
        </w:tc>
        <w:tc>
          <w:tcPr>
            <w:tcW w:w="637" w:type="dxa"/>
            <w:vAlign w:val="center"/>
          </w:tcPr>
          <w:p>
            <w:pPr>
              <w:shd w:val="clear" w:color="auto" w:fill="D6E3BC" w:themeFill="accent3" w:themeFillTint="66"/>
              <w:rPr>
                <w:highlight w:val="none"/>
                <w:lang w:eastAsia="ja-JP"/>
              </w:rPr>
            </w:pPr>
          </w:p>
        </w:tc>
        <w:tc>
          <w:tcPr>
            <w:tcW w:w="623" w:type="dxa"/>
            <w:vAlign w:val="center"/>
          </w:tcPr>
          <w:p>
            <w:pPr>
              <w:shd w:val="clear" w:color="auto" w:fill="D6E3BC" w:themeFill="accent3" w:themeFillTint="66"/>
              <w:rPr>
                <w:highlight w:val="none"/>
                <w:lang w:eastAsia="ja-JP"/>
              </w:rPr>
            </w:pPr>
          </w:p>
        </w:tc>
        <w:tc>
          <w:tcPr>
            <w:tcW w:w="637" w:type="dxa"/>
            <w:shd w:val="pct25" w:color="auto" w:fill="auto"/>
            <w:vAlign w:val="center"/>
          </w:tcPr>
          <w:p>
            <w:pPr>
              <w:shd w:val="clear" w:color="auto" w:fill="D6E3BC" w:themeFill="accent3" w:themeFillTint="66"/>
              <w:rPr>
                <w:highlight w:val="none"/>
                <w:lang w:eastAsia="ja-JP"/>
              </w:rPr>
            </w:pPr>
          </w:p>
        </w:tc>
        <w:tc>
          <w:tcPr>
            <w:tcW w:w="688" w:type="dxa"/>
            <w:shd w:val="pct25" w:color="auto" w:fill="auto"/>
            <w:vAlign w:val="center"/>
          </w:tcPr>
          <w:p>
            <w:pPr>
              <w:shd w:val="clear" w:color="auto" w:fill="D6E3BC" w:themeFill="accent3" w:themeFillTint="66"/>
              <w:rPr>
                <w:highlight w:val="none"/>
                <w:lang w:eastAsia="ja-JP"/>
              </w:rPr>
            </w:pPr>
          </w:p>
        </w:tc>
        <w:tc>
          <w:tcPr>
            <w:tcW w:w="600" w:type="dxa"/>
            <w:shd w:val="pct25" w:color="auto" w:fill="auto"/>
            <w:vAlign w:val="center"/>
          </w:tcPr>
          <w:p>
            <w:pPr>
              <w:shd w:val="clear" w:color="auto" w:fill="D6E3BC" w:themeFill="accent3" w:themeFillTint="66"/>
              <w:rPr>
                <w:highlight w:val="none"/>
                <w:lang w:eastAsia="ja-JP"/>
              </w:rPr>
            </w:pPr>
          </w:p>
        </w:tc>
        <w:tc>
          <w:tcPr>
            <w:tcW w:w="587" w:type="dxa"/>
            <w:shd w:val="pct25" w:color="auto" w:fill="auto"/>
            <w:vAlign w:val="center"/>
          </w:tcPr>
          <w:p>
            <w:pPr>
              <w:shd w:val="clear" w:color="auto" w:fill="D6E3BC" w:themeFill="accent3" w:themeFillTint="66"/>
              <w:rPr>
                <w:highlight w:val="none"/>
                <w:lang w:eastAsia="ja-JP"/>
              </w:rPr>
            </w:pPr>
          </w:p>
        </w:tc>
        <w:tc>
          <w:tcPr>
            <w:tcW w:w="650" w:type="dxa"/>
            <w:shd w:val="pct25" w:color="auto" w:fill="auto"/>
            <w:vAlign w:val="center"/>
          </w:tcPr>
          <w:p>
            <w:pPr>
              <w:shd w:val="clear" w:color="auto" w:fill="D6E3BC" w:themeFill="accent3" w:themeFillTint="66"/>
              <w:rPr>
                <w:highlight w:val="none"/>
                <w:lang w:eastAsia="ja-JP"/>
              </w:rPr>
            </w:pPr>
          </w:p>
        </w:tc>
        <w:tc>
          <w:tcPr>
            <w:tcW w:w="649" w:type="dxa"/>
            <w:shd w:val="pct25" w:color="auto" w:fill="auto"/>
            <w:vAlign w:val="center"/>
          </w:tcPr>
          <w:p>
            <w:pPr>
              <w:shd w:val="clear" w:color="auto" w:fill="D6E3BC" w:themeFill="accent3" w:themeFillTint="66"/>
              <w:rPr>
                <w:highlight w:val="none"/>
                <w:lang w:eastAsia="ja-JP"/>
              </w:rPr>
            </w:pPr>
          </w:p>
        </w:tc>
        <w:tc>
          <w:tcPr>
            <w:tcW w:w="650" w:type="dxa"/>
            <w:shd w:val="pct25" w:color="auto" w:fill="auto"/>
            <w:vAlign w:val="center"/>
          </w:tcPr>
          <w:p>
            <w:pPr>
              <w:shd w:val="clear" w:color="auto" w:fill="D6E3BC" w:themeFill="accent3" w:themeFillTint="66"/>
              <w:rPr>
                <w:highlight w:val="none"/>
                <w:lang w:eastAsia="ja-JP"/>
              </w:rPr>
            </w:pPr>
          </w:p>
        </w:tc>
        <w:tc>
          <w:tcPr>
            <w:tcW w:w="650" w:type="dxa"/>
            <w:shd w:val="pct25" w:color="auto" w:fill="auto"/>
            <w:vAlign w:val="center"/>
          </w:tcPr>
          <w:p>
            <w:pPr>
              <w:shd w:val="clear" w:color="auto" w:fill="D6E3BC" w:themeFill="accent3" w:themeFillTint="66"/>
              <w:rPr>
                <w:highlight w:val="none"/>
                <w:lang w:eastAsia="ja-JP"/>
              </w:rPr>
            </w:pPr>
          </w:p>
        </w:tc>
      </w:tr>
    </w:tbl>
    <w:p>
      <w:pPr>
        <w:shd w:val="clear" w:color="auto" w:fill="D6E3BC" w:themeFill="accent3" w:themeFillTint="66"/>
      </w:pPr>
    </w:p>
    <w:p>
      <w:pPr>
        <w:shd w:val="clear" w:color="auto" w:fill="D6E3BC" w:themeFill="accent3" w:themeFillTint="66"/>
      </w:pPr>
    </w:p>
    <w:p>
      <w:pPr>
        <w:shd w:val="clear" w:color="auto" w:fill="D6E3BC" w:themeFill="accent3" w:themeFillTint="66"/>
      </w:pPr>
      <w:r>
        <w:t xml:space="preserve">*评价: </w:t>
      </w:r>
      <w:r>
        <w:tab/>
      </w:r>
      <w:r>
        <w:t>1 =符合</w:t>
      </w:r>
    </w:p>
    <w:p>
      <w:pPr>
        <w:shd w:val="clear" w:color="auto" w:fill="D6E3BC" w:themeFill="accent3" w:themeFillTint="66"/>
      </w:pPr>
      <w:r>
        <w:tab/>
      </w:r>
      <w:r>
        <w:tab/>
      </w:r>
      <w:r>
        <w:t>2 =这次审核没审</w:t>
      </w:r>
    </w:p>
    <w:p>
      <w:pPr>
        <w:shd w:val="clear" w:color="auto" w:fill="D6E3BC" w:themeFill="accent3" w:themeFillTint="66"/>
      </w:pPr>
      <w:r>
        <w:tab/>
      </w:r>
      <w:r>
        <w:tab/>
      </w:r>
      <w:r>
        <w:t xml:space="preserve">3 =失效/不符合(参见不符合报告)  </w:t>
      </w:r>
    </w:p>
    <w:p>
      <w:pPr>
        <w:shd w:val="clear" w:color="auto" w:fill="D6E3BC" w:themeFill="accent3" w:themeFillTint="66"/>
      </w:pPr>
      <w:r>
        <w:tab/>
      </w:r>
      <w:r>
        <w:tab/>
      </w:r>
      <w:r>
        <w:t>4 =不适用</w:t>
      </w: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945" w:firstLineChars="450"/>
      <w:jc w:val="left"/>
      <w:rPr>
        <w:rStyle w:val="21"/>
        <w:rFonts w:hint="default"/>
      </w:rPr>
    </w:pPr>
    <w:r>
      <w:rPr>
        <w:rStyle w:val="21"/>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7"/>
      <w:pBdr>
        <w:bottom w:val="single" w:color="auto" w:sz="4" w:space="1"/>
      </w:pBdr>
      <w:spacing w:line="320" w:lineRule="exact"/>
      <w:ind w:firstLine="848" w:firstLineChars="449"/>
      <w:jc w:val="left"/>
    </w:pPr>
    <w:r>
      <w:rPr>
        <w:rStyle w:val="21"/>
        <w:rFonts w:hint="default"/>
        <w:w w:val="90"/>
      </w:rPr>
      <w:t>Beijing International Standard united Certification Co.,Ltd.</w:t>
    </w:r>
    <w:r>
      <w:rPr>
        <w:rStyle w:val="21"/>
        <w:rFonts w:hint="default"/>
      </w:rPr>
      <w:tab/>
    </w:r>
    <w:r>
      <w:rPr>
        <w:rStyle w:val="2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EE17838D"/>
    <w:multiLevelType w:val="singleLevel"/>
    <w:tmpl w:val="EE17838D"/>
    <w:lvl w:ilvl="0" w:tentative="0">
      <w:start w:val="1"/>
      <w:numFmt w:val="decimal"/>
      <w:suff w:val="nothing"/>
      <w:lvlText w:val="%1）"/>
      <w:lvlJc w:val="left"/>
    </w:lvl>
  </w:abstractNum>
  <w:abstractNum w:abstractNumId="3">
    <w:nsid w:val="F28BE119"/>
    <w:multiLevelType w:val="singleLevel"/>
    <w:tmpl w:val="F28BE119"/>
    <w:lvl w:ilvl="0" w:tentative="0">
      <w:start w:val="1"/>
      <w:numFmt w:val="decimal"/>
      <w:suff w:val="space"/>
      <w:lvlText w:val="%1."/>
      <w:lvlJc w:val="left"/>
    </w:lvl>
  </w:abstractNum>
  <w:abstractNum w:abstractNumId="4">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7">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3"/>
  </w:num>
  <w:num w:numId="3">
    <w:abstractNumId w:val="2"/>
  </w:num>
  <w:num w:numId="4">
    <w:abstractNumId w:val="4"/>
  </w:num>
  <w:num w:numId="5">
    <w:abstractNumId w:val="0"/>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M3N2UwYzRjODcyYjBmZWI4OGFkMDIyNTk1M2M5ZTMifQ=="/>
  </w:docVars>
  <w:rsids>
    <w:rsidRoot w:val="00000000"/>
    <w:rsid w:val="0D546E41"/>
    <w:rsid w:val="14A04BE0"/>
    <w:rsid w:val="29D90A0E"/>
    <w:rsid w:val="3BC44F5A"/>
    <w:rsid w:val="41670862"/>
    <w:rsid w:val="57761831"/>
    <w:rsid w:val="685F1EC3"/>
    <w:rsid w:val="6DE43631"/>
    <w:rsid w:val="7265409A"/>
    <w:rsid w:val="7F030E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adjustRightInd w:val="0"/>
      <w:spacing w:line="360" w:lineRule="atLeast"/>
      <w:ind w:left="1077"/>
      <w:textAlignment w:val="baseline"/>
    </w:pPr>
    <w:rPr>
      <w:b/>
      <w:kern w:val="0"/>
    </w:rPr>
  </w:style>
  <w:style w:type="paragraph" w:styleId="4">
    <w:name w:val="Body Text"/>
    <w:basedOn w:val="1"/>
    <w:qFormat/>
    <w:uiPriority w:val="1"/>
    <w:pPr>
      <w:ind w:left="137"/>
    </w:pPr>
    <w:rPr>
      <w:rFonts w:ascii="宋体" w:hAnsi="宋体" w:eastAsia="宋体"/>
      <w:sz w:val="20"/>
      <w:szCs w:val="20"/>
    </w:rPr>
  </w:style>
  <w:style w:type="paragraph" w:styleId="5">
    <w:name w:val="Balloon Text"/>
    <w:basedOn w:val="1"/>
    <w:link w:val="19"/>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w:basedOn w:val="4"/>
    <w:qFormat/>
    <w:uiPriority w:val="0"/>
    <w:pPr>
      <w:ind w:firstLine="420" w:firstLineChars="1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customStyle="1" w:styleId="15">
    <w:name w:val="表格文字"/>
    <w:basedOn w:val="1"/>
    <w:qFormat/>
    <w:uiPriority w:val="0"/>
    <w:pPr>
      <w:spacing w:before="25" w:after="25"/>
    </w:pPr>
    <w:rPr>
      <w:bCs/>
      <w:spacing w:val="10"/>
    </w:rPr>
  </w:style>
  <w:style w:type="paragraph" w:styleId="16">
    <w:name w:val="List Paragraph"/>
    <w:basedOn w:val="1"/>
    <w:qFormat/>
    <w:uiPriority w:val="34"/>
    <w:pPr>
      <w:ind w:firstLine="420" w:firstLineChars="200"/>
    </w:pPr>
  </w:style>
  <w:style w:type="character" w:customStyle="1" w:styleId="17">
    <w:name w:val="页眉 Char1"/>
    <w:basedOn w:val="13"/>
    <w:link w:val="7"/>
    <w:qFormat/>
    <w:uiPriority w:val="99"/>
    <w:rPr>
      <w:rFonts w:ascii="Times New Roman" w:hAnsi="Times New Roman" w:eastAsia="宋体" w:cs="Times New Roman"/>
      <w:sz w:val="18"/>
      <w:szCs w:val="18"/>
    </w:rPr>
  </w:style>
  <w:style w:type="character" w:customStyle="1" w:styleId="18">
    <w:name w:val="页脚 Char"/>
    <w:basedOn w:val="13"/>
    <w:link w:val="6"/>
    <w:qFormat/>
    <w:uiPriority w:val="99"/>
    <w:rPr>
      <w:rFonts w:ascii="Times New Roman" w:hAnsi="Times New Roman" w:eastAsia="宋体" w:cs="Times New Roman"/>
      <w:sz w:val="18"/>
      <w:szCs w:val="18"/>
    </w:rPr>
  </w:style>
  <w:style w:type="character" w:customStyle="1" w:styleId="19">
    <w:name w:val="批注框文本 Char"/>
    <w:basedOn w:val="13"/>
    <w:link w:val="5"/>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TM_accreditation"/>
    <w:basedOn w:val="1"/>
    <w:qFormat/>
    <w:uiPriority w:val="0"/>
    <w:pPr>
      <w:spacing w:before="40" w:after="40"/>
    </w:pPr>
    <w:rPr>
      <w:rFonts w:eastAsia="Times New Roman"/>
      <w:sz w:val="20"/>
      <w:szCs w:val="20"/>
      <w:lang w:val="en-GB" w:eastAsia="de-DE"/>
    </w:rPr>
  </w:style>
  <w:style w:type="paragraph" w:customStyle="1" w:styleId="25">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14106</Words>
  <Characters>15342</Characters>
  <Lines>290</Lines>
  <Paragraphs>81</Paragraphs>
  <TotalTime>0</TotalTime>
  <ScaleCrop>false</ScaleCrop>
  <LinksUpToDate>false</LinksUpToDate>
  <CharactersWithSpaces>17293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2022-07-28T08:04:15Z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