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751"/>
        <w:gridCol w:w="12120"/>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81" w:type="dxa"/>
            <w:vMerge w:val="restart"/>
            <w:vAlign w:val="center"/>
          </w:tcPr>
          <w:p>
            <w:pPr>
              <w:adjustRightInd w:val="0"/>
              <w:snapToGrid w:val="0"/>
              <w:spacing w:line="300" w:lineRule="exact"/>
              <w:jc w:val="center"/>
              <w:rPr>
                <w:rFonts w:ascii="楷体" w:hAnsi="楷体" w:eastAsia="楷体" w:cs="宋体"/>
                <w:szCs w:val="21"/>
              </w:rPr>
            </w:pPr>
            <w:r>
              <w:rPr>
                <w:rFonts w:hint="eastAsia" w:ascii="楷体" w:hAnsi="楷体" w:eastAsia="楷体" w:cs="宋体"/>
                <w:szCs w:val="21"/>
              </w:rPr>
              <w:t>过程与活动、</w:t>
            </w:r>
          </w:p>
          <w:p>
            <w:pPr>
              <w:adjustRightInd w:val="0"/>
              <w:snapToGrid w:val="0"/>
              <w:spacing w:line="300" w:lineRule="exact"/>
              <w:jc w:val="center"/>
              <w:rPr>
                <w:rFonts w:ascii="楷体" w:hAnsi="楷体" w:eastAsia="楷体" w:cs="宋体"/>
                <w:szCs w:val="21"/>
              </w:rPr>
            </w:pPr>
            <w:r>
              <w:rPr>
                <w:rFonts w:hint="eastAsia" w:ascii="楷体" w:hAnsi="楷体" w:eastAsia="楷体" w:cs="宋体"/>
                <w:szCs w:val="21"/>
              </w:rPr>
              <w:t>抽样计划</w:t>
            </w:r>
          </w:p>
        </w:tc>
        <w:tc>
          <w:tcPr>
            <w:tcW w:w="751" w:type="dxa"/>
            <w:vMerge w:val="restart"/>
            <w:vAlign w:val="center"/>
          </w:tcPr>
          <w:p>
            <w:pPr>
              <w:adjustRightInd w:val="0"/>
              <w:snapToGrid w:val="0"/>
              <w:spacing w:line="300" w:lineRule="exact"/>
              <w:rPr>
                <w:rFonts w:ascii="楷体" w:hAnsi="楷体" w:eastAsia="楷体" w:cs="宋体"/>
                <w:szCs w:val="21"/>
              </w:rPr>
            </w:pPr>
            <w:r>
              <w:rPr>
                <w:rFonts w:hint="eastAsia" w:ascii="楷体" w:hAnsi="楷体" w:eastAsia="楷体" w:cs="宋体"/>
                <w:szCs w:val="21"/>
              </w:rPr>
              <w:t>涉及</w:t>
            </w:r>
          </w:p>
          <w:p>
            <w:pPr>
              <w:adjustRightInd w:val="0"/>
              <w:snapToGrid w:val="0"/>
              <w:spacing w:line="300" w:lineRule="exact"/>
              <w:rPr>
                <w:rFonts w:ascii="楷体" w:hAnsi="楷体" w:eastAsia="楷体" w:cs="宋体"/>
                <w:szCs w:val="21"/>
              </w:rPr>
            </w:pPr>
            <w:r>
              <w:rPr>
                <w:rFonts w:hint="eastAsia" w:ascii="楷体" w:hAnsi="楷体" w:eastAsia="楷体" w:cs="宋体"/>
                <w:szCs w:val="21"/>
              </w:rPr>
              <w:t>条款</w:t>
            </w:r>
          </w:p>
        </w:tc>
        <w:tc>
          <w:tcPr>
            <w:tcW w:w="12120" w:type="dxa"/>
            <w:vAlign w:val="center"/>
          </w:tcPr>
          <w:p>
            <w:pPr>
              <w:adjustRightInd w:val="0"/>
              <w:snapToGrid w:val="0"/>
              <w:spacing w:line="300" w:lineRule="exact"/>
              <w:rPr>
                <w:rFonts w:hint="default" w:ascii="楷体" w:hAnsi="楷体" w:eastAsia="楷体" w:cs="宋体"/>
                <w:szCs w:val="21"/>
                <w:lang w:val="en-US" w:eastAsia="zh-CN"/>
              </w:rPr>
            </w:pPr>
            <w:r>
              <w:rPr>
                <w:rFonts w:hint="eastAsia" w:ascii="楷体" w:hAnsi="楷体" w:eastAsia="楷体" w:cs="宋体"/>
                <w:szCs w:val="21"/>
              </w:rPr>
              <w:t>受审核部门：领导层         主管领导：</w:t>
            </w:r>
            <w:r>
              <w:rPr>
                <w:rFonts w:hint="eastAsia" w:ascii="楷体" w:hAnsi="楷体" w:eastAsia="楷体" w:cs="宋体"/>
                <w:szCs w:val="21"/>
                <w:lang w:eastAsia="zh-CN"/>
              </w:rPr>
              <w:t>贾卫华</w:t>
            </w:r>
            <w:r>
              <w:rPr>
                <w:rFonts w:hint="eastAsia" w:ascii="楷体" w:hAnsi="楷体" w:eastAsia="楷体" w:cs="宋体"/>
                <w:szCs w:val="21"/>
                <w:lang w:val="en-US" w:eastAsia="zh-CN"/>
              </w:rPr>
              <w:t xml:space="preserve"> </w:t>
            </w:r>
            <w:r>
              <w:rPr>
                <w:rFonts w:hint="eastAsia" w:ascii="楷体" w:hAnsi="楷体" w:eastAsia="楷体" w:cs="宋体"/>
                <w:szCs w:val="21"/>
              </w:rPr>
              <w:t xml:space="preserve">         陪同人员：</w:t>
            </w:r>
            <w:r>
              <w:rPr>
                <w:rFonts w:hint="eastAsia" w:ascii="楷体" w:hAnsi="楷体" w:eastAsia="楷体" w:cs="宋体"/>
                <w:szCs w:val="21"/>
                <w:lang w:val="en-US" w:eastAsia="zh-CN"/>
              </w:rPr>
              <w:t xml:space="preserve"> 张瑞春</w:t>
            </w:r>
          </w:p>
        </w:tc>
        <w:tc>
          <w:tcPr>
            <w:tcW w:w="457" w:type="dxa"/>
            <w:vMerge w:val="restart"/>
            <w:vAlign w:val="center"/>
          </w:tcPr>
          <w:p>
            <w:pPr>
              <w:adjustRightInd w:val="0"/>
              <w:snapToGrid w:val="0"/>
              <w:spacing w:line="300" w:lineRule="exact"/>
              <w:rPr>
                <w:rFonts w:ascii="楷体" w:hAnsi="楷体" w:eastAsia="楷体" w:cs="宋体"/>
                <w:szCs w:val="21"/>
              </w:rPr>
            </w:pPr>
            <w:r>
              <w:rPr>
                <w:rFonts w:hint="eastAsia" w:ascii="楷体" w:hAnsi="楷体" w:eastAsia="楷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81" w:type="dxa"/>
            <w:vMerge w:val="continue"/>
            <w:vAlign w:val="center"/>
          </w:tcPr>
          <w:p>
            <w:pPr>
              <w:adjustRightInd w:val="0"/>
              <w:snapToGrid w:val="0"/>
              <w:spacing w:line="300" w:lineRule="exact"/>
              <w:rPr>
                <w:rFonts w:ascii="楷体" w:hAnsi="楷体" w:eastAsia="楷体" w:cs="宋体"/>
                <w:szCs w:val="21"/>
              </w:rPr>
            </w:pPr>
          </w:p>
        </w:tc>
        <w:tc>
          <w:tcPr>
            <w:tcW w:w="751" w:type="dxa"/>
            <w:vMerge w:val="continue"/>
            <w:vAlign w:val="center"/>
          </w:tcPr>
          <w:p>
            <w:pPr>
              <w:adjustRightInd w:val="0"/>
              <w:snapToGrid w:val="0"/>
              <w:spacing w:line="300" w:lineRule="exact"/>
              <w:rPr>
                <w:rFonts w:ascii="楷体" w:hAnsi="楷体" w:eastAsia="楷体" w:cs="宋体"/>
                <w:szCs w:val="21"/>
              </w:rPr>
            </w:pPr>
          </w:p>
        </w:tc>
        <w:tc>
          <w:tcPr>
            <w:tcW w:w="12120" w:type="dxa"/>
            <w:vAlign w:val="center"/>
          </w:tcPr>
          <w:p>
            <w:pPr>
              <w:adjustRightInd w:val="0"/>
              <w:snapToGrid w:val="0"/>
              <w:spacing w:line="300" w:lineRule="exact"/>
              <w:rPr>
                <w:rFonts w:hint="default" w:ascii="楷体" w:hAnsi="楷体" w:eastAsia="楷体" w:cs="宋体"/>
                <w:szCs w:val="21"/>
                <w:lang w:val="en-US" w:eastAsia="zh-CN"/>
              </w:rPr>
            </w:pPr>
            <w:r>
              <w:rPr>
                <w:rFonts w:hint="eastAsia" w:ascii="楷体" w:hAnsi="楷体" w:eastAsia="楷体" w:cs="宋体"/>
                <w:szCs w:val="21"/>
              </w:rPr>
              <w:t>审核员：</w:t>
            </w:r>
            <w:r>
              <w:rPr>
                <w:rFonts w:hint="eastAsia" w:ascii="楷体" w:hAnsi="楷体" w:eastAsia="楷体" w:cs="宋体"/>
                <w:szCs w:val="21"/>
                <w:lang w:eastAsia="zh-CN"/>
              </w:rPr>
              <w:t>李丽英</w:t>
            </w:r>
            <w:r>
              <w:rPr>
                <w:rFonts w:hint="eastAsia" w:ascii="楷体" w:hAnsi="楷体" w:eastAsia="楷体" w:cs="宋体"/>
                <w:szCs w:val="21"/>
                <w:lang w:val="en-US" w:eastAsia="zh-CN"/>
              </w:rPr>
              <w:t xml:space="preserve">  </w:t>
            </w:r>
            <w:r>
              <w:rPr>
                <w:rFonts w:hint="eastAsia" w:ascii="楷体" w:hAnsi="楷体" w:eastAsia="楷体" w:cs="宋体"/>
                <w:szCs w:val="21"/>
              </w:rPr>
              <w:t xml:space="preserve">           审核时间：</w:t>
            </w:r>
            <w:r>
              <w:rPr>
                <w:rFonts w:hint="eastAsia" w:ascii="楷体" w:hAnsi="楷体" w:eastAsia="楷体" w:cs="宋体"/>
                <w:szCs w:val="21"/>
                <w:lang w:val="en-US" w:eastAsia="zh-CN"/>
              </w:rPr>
              <w:t>2022.7.21日下午</w:t>
            </w:r>
          </w:p>
        </w:tc>
        <w:tc>
          <w:tcPr>
            <w:tcW w:w="457" w:type="dxa"/>
            <w:vMerge w:val="continue"/>
          </w:tcPr>
          <w:p>
            <w:pPr>
              <w:adjustRightInd w:val="0"/>
              <w:snapToGrid w:val="0"/>
              <w:spacing w:line="300" w:lineRule="exact"/>
              <w:rPr>
                <w:rFonts w:ascii="楷体" w:hAnsi="楷体" w:eastAsia="楷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1" w:type="dxa"/>
            <w:vMerge w:val="continue"/>
            <w:vAlign w:val="center"/>
          </w:tcPr>
          <w:p>
            <w:pPr>
              <w:adjustRightInd w:val="0"/>
              <w:snapToGrid w:val="0"/>
              <w:spacing w:line="300" w:lineRule="exact"/>
              <w:rPr>
                <w:rFonts w:ascii="楷体" w:hAnsi="楷体" w:eastAsia="楷体" w:cs="宋体"/>
                <w:szCs w:val="21"/>
              </w:rPr>
            </w:pPr>
          </w:p>
        </w:tc>
        <w:tc>
          <w:tcPr>
            <w:tcW w:w="751" w:type="dxa"/>
            <w:vMerge w:val="continue"/>
            <w:vAlign w:val="center"/>
          </w:tcPr>
          <w:p>
            <w:pPr>
              <w:adjustRightInd w:val="0"/>
              <w:snapToGrid w:val="0"/>
              <w:spacing w:line="300" w:lineRule="exact"/>
              <w:rPr>
                <w:rFonts w:ascii="楷体" w:hAnsi="楷体" w:eastAsia="楷体" w:cs="宋体"/>
                <w:szCs w:val="21"/>
              </w:rPr>
            </w:pPr>
          </w:p>
        </w:tc>
        <w:tc>
          <w:tcPr>
            <w:tcW w:w="12120" w:type="dxa"/>
            <w:vAlign w:val="center"/>
          </w:tcPr>
          <w:p>
            <w:pPr>
              <w:adjustRightInd w:val="0"/>
              <w:snapToGrid w:val="0"/>
              <w:spacing w:line="300" w:lineRule="exact"/>
              <w:rPr>
                <w:rFonts w:ascii="楷体" w:hAnsi="楷体" w:eastAsia="楷体" w:cs="宋体"/>
                <w:szCs w:val="21"/>
              </w:rPr>
            </w:pPr>
            <w:r>
              <w:rPr>
                <w:rFonts w:hint="eastAsia" w:ascii="楷体" w:hAnsi="楷体" w:eastAsia="楷体" w:cs="宋体"/>
                <w:szCs w:val="21"/>
              </w:rPr>
              <w:t>审核条款：</w:t>
            </w:r>
            <w:r>
              <w:rPr>
                <w:rFonts w:hint="eastAsia" w:cs="Times New Roman"/>
                <w:sz w:val="21"/>
                <w:szCs w:val="21"/>
                <w:lang w:val="en-US" w:eastAsia="zh-CN"/>
              </w:rPr>
              <w:t>QEO</w:t>
            </w:r>
            <w:r>
              <w:rPr>
                <w:rFonts w:hint="eastAsia" w:ascii="Times New Roman" w:hAnsi="Times New Roman" w:cs="Times New Roman"/>
                <w:sz w:val="21"/>
                <w:szCs w:val="21"/>
                <w:lang w:val="en-US" w:eastAsia="zh-CN"/>
              </w:rPr>
              <w:t>4.1/4.2/4.3/4.4/</w:t>
            </w:r>
            <w:r>
              <w:rPr>
                <w:rFonts w:hint="default" w:ascii="Times New Roman" w:hAnsi="Times New Roman" w:cs="Times New Roman"/>
                <w:sz w:val="21"/>
                <w:szCs w:val="21"/>
                <w:lang w:val="en-US" w:eastAsia="zh-CN"/>
              </w:rPr>
              <w:t>5.1/5.2/5.3/6.1/6.2/7.1/9.1.1</w:t>
            </w:r>
            <w:r>
              <w:rPr>
                <w:rFonts w:hint="eastAsia" w:ascii="Times New Roman" w:hAnsi="Times New Roman" w:cs="Times New Roman"/>
                <w:sz w:val="21"/>
                <w:szCs w:val="21"/>
                <w:lang w:val="en-US" w:eastAsia="zh-CN"/>
              </w:rPr>
              <w:t>/9.3/</w:t>
            </w:r>
            <w:r>
              <w:rPr>
                <w:rFonts w:hint="default" w:ascii="Times New Roman" w:hAnsi="Times New Roman" w:cs="Times New Roman"/>
                <w:sz w:val="21"/>
                <w:szCs w:val="21"/>
                <w:lang w:val="en-US" w:eastAsia="zh-CN"/>
              </w:rPr>
              <w:t>10.1/10.3</w:t>
            </w:r>
            <w:r>
              <w:rPr>
                <w:rFonts w:hint="eastAsia" w:ascii="Times New Roman" w:hAnsi="Times New Roman" w:cs="Times New Roman"/>
                <w:sz w:val="21"/>
                <w:szCs w:val="21"/>
                <w:lang w:val="en-US" w:eastAsia="zh-CN"/>
              </w:rPr>
              <w:t>；</w:t>
            </w:r>
            <w:r>
              <w:rPr>
                <w:rFonts w:hint="eastAsia" w:cs="Times New Roman"/>
                <w:sz w:val="21"/>
                <w:szCs w:val="21"/>
                <w:lang w:val="en-US" w:eastAsia="zh-CN"/>
              </w:rPr>
              <w:t>Q</w:t>
            </w:r>
            <w:r>
              <w:rPr>
                <w:rFonts w:hint="default" w:ascii="Times New Roman" w:hAnsi="Times New Roman" w:cs="Times New Roman"/>
                <w:sz w:val="21"/>
                <w:szCs w:val="21"/>
                <w:lang w:val="en-US" w:eastAsia="zh-CN"/>
              </w:rPr>
              <w:t>6.3</w:t>
            </w:r>
          </w:p>
        </w:tc>
        <w:tc>
          <w:tcPr>
            <w:tcW w:w="457" w:type="dxa"/>
            <w:vMerge w:val="continue"/>
          </w:tcPr>
          <w:p>
            <w:pPr>
              <w:adjustRightInd w:val="0"/>
              <w:snapToGrid w:val="0"/>
              <w:spacing w:line="300" w:lineRule="exact"/>
              <w:rPr>
                <w:rFonts w:ascii="楷体" w:hAnsi="楷体" w:eastAsia="楷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81"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rPr>
              <w:t>理解组织及其环境</w:t>
            </w:r>
          </w:p>
        </w:tc>
        <w:tc>
          <w:tcPr>
            <w:tcW w:w="751" w:type="dxa"/>
          </w:tcPr>
          <w:p>
            <w:pPr>
              <w:adjustRightInd w:val="0"/>
              <w:snapToGrid w:val="0"/>
              <w:spacing w:line="300" w:lineRule="exact"/>
              <w:rPr>
                <w:rFonts w:ascii="楷体" w:hAnsi="楷体" w:eastAsia="楷体" w:cs="宋体"/>
                <w:szCs w:val="21"/>
              </w:rPr>
            </w:pPr>
            <w:r>
              <w:rPr>
                <w:rFonts w:hint="eastAsia" w:cs="Times New Roman"/>
                <w:sz w:val="21"/>
                <w:szCs w:val="21"/>
                <w:lang w:val="en-US" w:eastAsia="zh-CN"/>
              </w:rPr>
              <w:t>QEO</w:t>
            </w:r>
            <w:r>
              <w:rPr>
                <w:rFonts w:hint="eastAsia" w:ascii="楷体" w:hAnsi="楷体" w:eastAsia="楷体" w:cs="宋体"/>
                <w:szCs w:val="21"/>
              </w:rPr>
              <w:t>4.1</w:t>
            </w:r>
          </w:p>
        </w:tc>
        <w:tc>
          <w:tcPr>
            <w:tcW w:w="12120" w:type="dxa"/>
          </w:tcPr>
          <w:p>
            <w:pPr>
              <w:spacing w:line="300" w:lineRule="exact"/>
              <w:rPr>
                <w:rFonts w:hint="eastAsia"/>
                <w:color w:val="000000"/>
                <w:szCs w:val="21"/>
                <w:u w:val="single"/>
                <w:lang w:val="en-US" w:eastAsia="zh-CN"/>
              </w:rPr>
            </w:pPr>
            <w:r>
              <w:rPr>
                <w:rFonts w:ascii="楷体" w:hAnsi="楷体" w:eastAsia="楷体" w:cs="宋体"/>
                <w:szCs w:val="21"/>
              </w:rPr>
              <w:t>1</w:t>
            </w:r>
            <w:r>
              <w:rPr>
                <w:rFonts w:hint="eastAsia" w:ascii="楷体" w:hAnsi="楷体" w:eastAsia="楷体" w:cs="宋体"/>
                <w:szCs w:val="21"/>
              </w:rPr>
              <w:t>、</w:t>
            </w:r>
            <w:r>
              <w:rPr>
                <w:rFonts w:hint="eastAsia" w:ascii="楷体" w:hAnsi="楷体" w:eastAsia="楷体" w:cs="宋体"/>
                <w:szCs w:val="21"/>
                <w:lang w:eastAsia="zh-CN"/>
              </w:rPr>
              <w:t>基本情况：现场查看了</w:t>
            </w:r>
            <w:r>
              <w:rPr>
                <w:rFonts w:hint="eastAsia" w:ascii="楷体" w:hAnsi="楷体" w:eastAsia="楷体" w:cs="宋体"/>
                <w:szCs w:val="21"/>
              </w:rPr>
              <w:t>营业执照</w:t>
            </w:r>
            <w:r>
              <w:rPr>
                <w:rFonts w:hint="eastAsia" w:ascii="楷体" w:hAnsi="楷体" w:eastAsia="楷体" w:cs="宋体"/>
                <w:szCs w:val="21"/>
                <w:lang w:eastAsia="zh-CN"/>
              </w:rPr>
              <w:t>，</w:t>
            </w:r>
            <w:r>
              <w:rPr>
                <w:rFonts w:hint="eastAsia" w:ascii="楷体" w:hAnsi="楷体" w:eastAsia="楷体" w:cs="宋体"/>
                <w:color w:val="000000"/>
                <w:kern w:val="0"/>
                <w:sz w:val="21"/>
                <w:szCs w:val="21"/>
                <w:lang w:val="en-US" w:eastAsia="zh-CN" w:bidi="ar-SA"/>
              </w:rPr>
              <w:t>编号：9113018275894139XH ；有</w:t>
            </w:r>
            <w:r>
              <w:rPr>
                <w:rFonts w:hint="eastAsia" w:ascii="楷体" w:hAnsi="楷体" w:eastAsia="楷体" w:cs="宋体"/>
                <w:color w:val="000000"/>
                <w:kern w:val="0"/>
                <w:szCs w:val="21"/>
              </w:rPr>
              <w:t>效期：</w:t>
            </w:r>
            <w:r>
              <w:rPr>
                <w:rFonts w:hint="eastAsia" w:ascii="楷体" w:hAnsi="楷体" w:eastAsia="楷体" w:cs="宋体"/>
                <w:szCs w:val="21"/>
                <w:lang w:val="en-US" w:eastAsia="zh-CN"/>
              </w:rPr>
              <w:t>2004-02-20</w:t>
            </w:r>
            <w:r>
              <w:rPr>
                <w:rFonts w:hint="default" w:ascii="楷体" w:hAnsi="楷体" w:eastAsia="楷体" w:cs="宋体"/>
                <w:szCs w:val="21"/>
                <w:lang w:val="en-US" w:eastAsia="zh-CN"/>
              </w:rPr>
              <w:t> 至 无固定期限</w:t>
            </w:r>
            <w:r>
              <w:rPr>
                <w:rFonts w:hint="eastAsia" w:ascii="楷体" w:hAnsi="楷体" w:eastAsia="楷体" w:cs="宋体"/>
                <w:szCs w:val="21"/>
                <w:lang w:val="en-US" w:eastAsia="zh-CN"/>
              </w:rPr>
              <w:t>；</w:t>
            </w:r>
          </w:p>
          <w:p>
            <w:pPr>
              <w:spacing w:line="300" w:lineRule="exact"/>
              <w:rPr>
                <w:rFonts w:hint="eastAsia" w:ascii="楷体" w:hAnsi="楷体" w:eastAsia="楷体" w:cs="宋体"/>
                <w:color w:val="000000"/>
                <w:kern w:val="0"/>
                <w:szCs w:val="21"/>
                <w:lang w:eastAsia="zh-CN"/>
              </w:rPr>
            </w:pPr>
            <w:r>
              <w:rPr>
                <w:rFonts w:hint="eastAsia" w:ascii="楷体" w:hAnsi="楷体" w:eastAsia="楷体" w:cs="宋体"/>
                <w:color w:val="000000"/>
                <w:kern w:val="0"/>
                <w:szCs w:val="21"/>
              </w:rPr>
              <w:t>2、企业经营范围的相关描述：新能源技术推广服务。电采暖设备、固体储热式电暖器、固体蓄热式电暖器、固体储热式电锅炉、固体蓄热式电锅炉、空气源固体蓄能锅炉机组、热风炉、直热电暖器、快热式热水器、蓄热式热水器、换热器、空气源热泵、机械电气设备、电力设备、节能环保设备、通用机械设备及配件的设计、研发、生产、销售、安装；节能技术开发、技术咨询、技术交流、技术转让、技术推广服务；工程管理服务；供热服务（禁止类、限制类项目除外，需相关部门许可的项目，许可后方可经营）；信息系统集成服务；管道及设备安装、维修。（依法须经批准的项目，经相关部门批准后方可开展经营活动）</w:t>
            </w:r>
            <w:r>
              <w:rPr>
                <w:rFonts w:hint="eastAsia" w:ascii="楷体" w:hAnsi="楷体" w:eastAsia="楷体" w:cs="宋体"/>
                <w:color w:val="000000"/>
                <w:kern w:val="0"/>
                <w:szCs w:val="21"/>
                <w:lang w:eastAsia="zh-CN"/>
              </w:rPr>
              <w:t>。</w:t>
            </w:r>
          </w:p>
          <w:p>
            <w:pPr>
              <w:spacing w:line="300" w:lineRule="exact"/>
              <w:rPr>
                <w:rFonts w:hint="default" w:ascii="楷体" w:hAnsi="楷体" w:eastAsia="楷体" w:cs="宋体"/>
                <w:color w:val="000000"/>
                <w:kern w:val="0"/>
                <w:szCs w:val="21"/>
                <w:lang w:val="en-US" w:eastAsia="zh-CN"/>
              </w:rPr>
            </w:pPr>
            <w:r>
              <w:rPr>
                <w:rFonts w:hint="eastAsia" w:ascii="楷体" w:hAnsi="楷体" w:eastAsia="楷体" w:cs="宋体"/>
                <w:color w:val="000000"/>
                <w:kern w:val="0"/>
                <w:szCs w:val="21"/>
                <w:lang w:eastAsia="zh-CN"/>
              </w:rPr>
              <w:t>注册地址</w:t>
            </w:r>
            <w:r>
              <w:rPr>
                <w:rFonts w:hint="eastAsia" w:ascii="楷体" w:hAnsi="楷体" w:eastAsia="楷体" w:cs="宋体"/>
                <w:color w:val="000000"/>
                <w:kern w:val="0"/>
                <w:szCs w:val="21"/>
                <w:lang w:val="en-US" w:eastAsia="zh-CN"/>
              </w:rPr>
              <w:t>/经营地址：</w:t>
            </w:r>
            <w:r>
              <w:rPr>
                <w:rFonts w:hint="eastAsia" w:ascii="楷体" w:hAnsi="楷体" w:eastAsia="楷体" w:cs="宋体"/>
                <w:color w:val="000000"/>
                <w:kern w:val="0"/>
                <w:szCs w:val="21"/>
              </w:rPr>
              <w:t>河北省石家庄市藁城区兴安镇武家庄村西南50米处</w:t>
            </w:r>
          </w:p>
          <w:p>
            <w:pPr>
              <w:spacing w:line="300" w:lineRule="exact"/>
              <w:rPr>
                <w:rFonts w:hint="eastAsia" w:ascii="楷体" w:hAnsi="楷体" w:eastAsia="楷体" w:cs="宋体"/>
                <w:color w:val="000000"/>
                <w:kern w:val="0"/>
                <w:szCs w:val="21"/>
                <w:lang w:val="en-US" w:eastAsia="zh-CN"/>
              </w:rPr>
            </w:pPr>
            <w:r>
              <w:rPr>
                <w:rFonts w:hint="eastAsia" w:ascii="楷体" w:hAnsi="楷体" w:eastAsia="楷体" w:cs="宋体"/>
                <w:color w:val="000000"/>
                <w:kern w:val="0"/>
                <w:szCs w:val="21"/>
                <w:lang w:val="en-US" w:eastAsia="zh-CN"/>
              </w:rPr>
              <w:t>3、企业目前经营状况：网上查询，无被投诉情况，无质量事故；</w:t>
            </w:r>
          </w:p>
          <w:p>
            <w:pPr>
              <w:spacing w:line="300" w:lineRule="exact"/>
              <w:rPr>
                <w:rFonts w:hint="default" w:ascii="楷体" w:hAnsi="楷体" w:eastAsia="楷体" w:cs="宋体"/>
                <w:color w:val="0000FF"/>
                <w:kern w:val="0"/>
                <w:szCs w:val="21"/>
                <w:lang w:val="en-US" w:eastAsia="zh-CN"/>
              </w:rPr>
            </w:pPr>
            <w:r>
              <w:rPr>
                <w:rFonts w:hint="eastAsia" w:ascii="楷体" w:hAnsi="楷体" w:eastAsia="楷体" w:cs="宋体"/>
                <w:color w:val="000000"/>
                <w:kern w:val="0"/>
                <w:szCs w:val="21"/>
                <w:lang w:val="en-US" w:eastAsia="zh-CN"/>
              </w:rPr>
              <w:t>上级检查机关抽查情况：2021年11月10日，双随机一公开检查，检查机关：石家庄市藁城区市场监督管理局，未发现问题。</w:t>
            </w:r>
          </w:p>
          <w:p>
            <w:pPr>
              <w:adjustRightInd w:val="0"/>
              <w:snapToGrid w:val="0"/>
              <w:spacing w:line="300" w:lineRule="exact"/>
              <w:rPr>
                <w:rFonts w:hint="eastAsia" w:ascii="楷体" w:hAnsi="楷体" w:eastAsia="楷体" w:cs="宋体"/>
                <w:szCs w:val="21"/>
              </w:rPr>
            </w:pPr>
            <w:r>
              <w:rPr>
                <w:rFonts w:ascii="楷体" w:hAnsi="楷体" w:eastAsia="楷体" w:cs="宋体"/>
                <w:szCs w:val="21"/>
              </w:rPr>
              <w:t>4</w:t>
            </w:r>
            <w:r>
              <w:rPr>
                <w:rFonts w:hint="eastAsia" w:ascii="楷体" w:hAnsi="楷体" w:eastAsia="楷体" w:cs="宋体"/>
                <w:szCs w:val="21"/>
              </w:rPr>
              <w:t>、内部因素和外部因素：</w:t>
            </w:r>
          </w:p>
          <w:p>
            <w:pPr>
              <w:adjustRightInd w:val="0"/>
              <w:snapToGrid w:val="0"/>
              <w:spacing w:line="300" w:lineRule="exact"/>
              <w:ind w:firstLine="420" w:firstLineChars="200"/>
              <w:rPr>
                <w:rFonts w:hint="eastAsia" w:ascii="楷体" w:hAnsi="楷体" w:eastAsia="楷体" w:cs="宋体"/>
                <w:szCs w:val="21"/>
                <w:lang w:val="en-US" w:eastAsia="zh-CN"/>
              </w:rPr>
            </w:pPr>
            <w:r>
              <w:rPr>
                <w:rFonts w:hint="eastAsia" w:ascii="楷体" w:hAnsi="楷体" w:eastAsia="楷体" w:cs="宋体"/>
                <w:szCs w:val="21"/>
                <w:lang w:val="en-US" w:eastAsia="zh-CN"/>
              </w:rPr>
              <w:t>查见《管理手册》相关条款及《组织环境与相关方要求控制程序》要求，公司最高管理者组织环境分析会，分析确定与公司宗旨、目标和战略方向相关并影响其实现质量、环境和职业健康安全预期结果的各种内部、外部问题或因素。将内部、外部问题或因素的分析结果，作为建立管理体系考虑的因素。</w:t>
            </w:r>
          </w:p>
          <w:p>
            <w:pPr>
              <w:spacing w:line="300" w:lineRule="exact"/>
              <w:ind w:firstLine="420" w:firstLineChars="200"/>
              <w:rPr>
                <w:rFonts w:hint="eastAsia" w:ascii="楷体" w:hAnsi="楷体" w:eastAsia="楷体" w:cs="宋体"/>
                <w:szCs w:val="21"/>
                <w:lang w:val="en-US" w:eastAsia="zh-CN"/>
              </w:rPr>
            </w:pPr>
            <w:r>
              <w:rPr>
                <w:rFonts w:hint="eastAsia" w:ascii="楷体" w:hAnsi="楷体" w:eastAsia="楷体" w:cs="宋体"/>
                <w:szCs w:val="21"/>
                <w:lang w:val="en-US" w:eastAsia="zh-CN"/>
              </w:rPr>
              <w:t>查见《组织环境识别表》，对内外部环境因素进行了识别。</w:t>
            </w:r>
          </w:p>
          <w:p>
            <w:pPr>
              <w:pStyle w:val="17"/>
              <w:jc w:val="left"/>
              <w:rPr>
                <w:rFonts w:hint="eastAsia" w:ascii="楷体" w:hAnsi="楷体" w:eastAsia="楷体" w:cs="宋体"/>
                <w:szCs w:val="21"/>
                <w:lang w:val="en-US" w:eastAsia="zh-CN"/>
              </w:rPr>
            </w:pPr>
            <w:r>
              <w:rPr>
                <w:rFonts w:hint="eastAsia" w:ascii="楷体" w:hAnsi="楷体" w:eastAsia="楷体" w:cs="宋体"/>
                <w:szCs w:val="21"/>
                <w:lang w:val="en-US" w:eastAsia="zh-CN"/>
              </w:rPr>
              <w:t xml:space="preserve">   查外部因素主要有：政治环境、法律环境、经济环境、社会文化环境、自然环境、竞争力；</w:t>
            </w:r>
          </w:p>
          <w:p>
            <w:pPr>
              <w:pStyle w:val="17"/>
              <w:jc w:val="left"/>
              <w:rPr>
                <w:rFonts w:hint="eastAsia" w:ascii="楷体" w:hAnsi="楷体" w:eastAsia="楷体" w:cs="宋体"/>
                <w:szCs w:val="21"/>
                <w:lang w:val="en-US" w:eastAsia="zh-CN"/>
              </w:rPr>
            </w:pPr>
            <w:r>
              <w:rPr>
                <w:rFonts w:hint="eastAsia" w:ascii="楷体" w:hAnsi="楷体" w:eastAsia="楷体" w:cs="宋体"/>
                <w:szCs w:val="21"/>
                <w:lang w:val="en-US" w:eastAsia="zh-CN"/>
              </w:rPr>
              <w:t xml:space="preserve">   查内部主要有：企业文化、公司价值观、知识积累、绩效、财务因素、人力因素、运营因素；</w:t>
            </w:r>
          </w:p>
          <w:p>
            <w:pPr>
              <w:pStyle w:val="17"/>
              <w:jc w:val="left"/>
              <w:rPr>
                <w:rFonts w:hint="default" w:ascii="楷体" w:hAnsi="楷体" w:eastAsia="楷体" w:cs="宋体"/>
                <w:szCs w:val="21"/>
                <w:lang w:val="en-US" w:eastAsia="zh-CN"/>
              </w:rPr>
            </w:pPr>
            <w:r>
              <w:rPr>
                <w:rFonts w:hint="eastAsia" w:ascii="楷体" w:hAnsi="楷体" w:eastAsia="楷体" w:cs="宋体"/>
                <w:szCs w:val="21"/>
                <w:lang w:val="en-US" w:eastAsia="zh-CN"/>
              </w:rPr>
              <w:t xml:space="preserve">   贾总介绍，由于公司经营策略调整及市场状况，从2022年初转为销售型企业，近期销售产品为库存产品，根据销售市场情况进行采购；目前河北省内同行业企业较多，产品价格、市场份额等均不占优势，目前市场竞争压力很大；</w:t>
            </w:r>
          </w:p>
          <w:p>
            <w:pPr>
              <w:adjustRightInd w:val="0"/>
              <w:snapToGrid w:val="0"/>
              <w:spacing w:line="300" w:lineRule="exact"/>
              <w:ind w:firstLine="420" w:firstLineChars="200"/>
              <w:rPr>
                <w:rFonts w:ascii="楷体" w:hAnsi="楷体" w:eastAsia="楷体" w:cs="宋体"/>
                <w:szCs w:val="21"/>
              </w:rPr>
            </w:pPr>
            <w:r>
              <w:rPr>
                <w:rFonts w:hint="eastAsia" w:ascii="楷体" w:hAnsi="楷体" w:eastAsia="楷体" w:cs="宋体"/>
                <w:szCs w:val="21"/>
              </w:rPr>
              <w:t>对这些内外部因素通过定期的网站获取、顾客沟通（总结、会议、培训等形式）及内部沟通总结等方式进行监视和评审。</w:t>
            </w:r>
          </w:p>
        </w:tc>
        <w:tc>
          <w:tcPr>
            <w:tcW w:w="457"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381"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rPr>
              <w:t>理解相关方的需求和期望</w:t>
            </w:r>
          </w:p>
        </w:tc>
        <w:tc>
          <w:tcPr>
            <w:tcW w:w="751" w:type="dxa"/>
          </w:tcPr>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QEO</w:t>
            </w:r>
          </w:p>
          <w:p>
            <w:pPr>
              <w:adjustRightInd w:val="0"/>
              <w:snapToGrid w:val="0"/>
              <w:spacing w:line="300" w:lineRule="exact"/>
              <w:rPr>
                <w:rFonts w:ascii="楷体" w:hAnsi="楷体" w:eastAsia="楷体" w:cs="宋体"/>
                <w:szCs w:val="21"/>
              </w:rPr>
            </w:pPr>
            <w:r>
              <w:rPr>
                <w:rFonts w:hint="eastAsia" w:ascii="楷体" w:hAnsi="楷体" w:eastAsia="楷体" w:cs="宋体"/>
                <w:szCs w:val="21"/>
              </w:rPr>
              <w:t xml:space="preserve">4.2 </w:t>
            </w:r>
          </w:p>
          <w:p>
            <w:pPr>
              <w:adjustRightInd w:val="0"/>
              <w:snapToGrid w:val="0"/>
              <w:spacing w:line="300" w:lineRule="exact"/>
              <w:rPr>
                <w:rFonts w:ascii="楷体" w:hAnsi="楷体" w:eastAsia="楷体" w:cs="宋体"/>
                <w:szCs w:val="21"/>
              </w:rPr>
            </w:pPr>
          </w:p>
        </w:tc>
        <w:tc>
          <w:tcPr>
            <w:tcW w:w="12120" w:type="dxa"/>
          </w:tcPr>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val="en-US" w:eastAsia="zh-CN"/>
              </w:rPr>
              <w:t>编制并执行《组织环境与相关方要求控制程序》。</w:t>
            </w:r>
            <w:r>
              <w:rPr>
                <w:rFonts w:hint="eastAsia" w:ascii="楷体" w:hAnsi="楷体" w:eastAsia="楷体" w:cs="宋体"/>
                <w:szCs w:val="21"/>
                <w:lang w:eastAsia="zh-CN"/>
              </w:rPr>
              <w:t>办公室每年确定与质量、环境和职业健康安全管理体系有关的相关方，</w:t>
            </w:r>
            <w:r>
              <w:rPr>
                <w:rFonts w:hint="eastAsia" w:ascii="楷体" w:hAnsi="楷体" w:eastAsia="楷体" w:cs="宋体"/>
                <w:szCs w:val="21"/>
                <w:lang w:val="en-US" w:eastAsia="zh-CN"/>
              </w:rPr>
              <w:t>分析了企业</w:t>
            </w:r>
            <w:r>
              <w:rPr>
                <w:rFonts w:hint="eastAsia" w:ascii="楷体" w:hAnsi="楷体" w:eastAsia="楷体" w:cs="宋体"/>
                <w:szCs w:val="21"/>
                <w:lang w:eastAsia="zh-CN"/>
              </w:rPr>
              <w:t>以下相关方：a) 直接顾客； b) 外部提供方； 公司的相关方主要包括：顾客、供方、政府机构、员工、竞争对手、员工</w:t>
            </w:r>
            <w:r>
              <w:rPr>
                <w:rFonts w:hint="eastAsia" w:ascii="楷体" w:hAnsi="楷体" w:eastAsia="楷体" w:cs="宋体"/>
                <w:szCs w:val="21"/>
              </w:rPr>
              <w:t>等</w:t>
            </w:r>
          </w:p>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查见《相关方的需求和期望清单》，评审内容包括：相关方的需求、监视指标及监视频率、监测部门、考核情况，</w:t>
            </w:r>
          </w:p>
          <w:p>
            <w:pPr>
              <w:adjustRightInd w:val="0"/>
              <w:snapToGrid w:val="0"/>
              <w:spacing w:line="300" w:lineRule="exact"/>
              <w:rPr>
                <w:rFonts w:hint="default" w:ascii="楷体" w:hAnsi="楷体" w:eastAsia="楷体" w:cs="宋体"/>
                <w:szCs w:val="21"/>
                <w:lang w:val="en-US" w:eastAsia="zh-CN"/>
              </w:rPr>
            </w:pPr>
            <w:r>
              <w:rPr>
                <w:rFonts w:hint="eastAsia" w:ascii="楷体" w:hAnsi="楷体" w:eastAsia="楷体" w:cs="宋体"/>
                <w:szCs w:val="21"/>
                <w:lang w:eastAsia="zh-CN"/>
              </w:rPr>
              <w:t>——抽顾客需求及期望</w:t>
            </w:r>
            <w:r>
              <w:rPr>
                <w:rFonts w:hint="eastAsia" w:ascii="楷体" w:hAnsi="楷体" w:eastAsia="楷体" w:cs="宋体"/>
                <w:szCs w:val="21"/>
              </w:rPr>
              <w:t>：产品质量符合顾客要求</w:t>
            </w:r>
            <w:r>
              <w:rPr>
                <w:rFonts w:hint="eastAsia" w:ascii="楷体" w:hAnsi="楷体" w:eastAsia="楷体" w:cs="宋体"/>
                <w:szCs w:val="21"/>
                <w:lang w:eastAsia="zh-CN"/>
              </w:rPr>
              <w:t>、</w:t>
            </w:r>
            <w:r>
              <w:rPr>
                <w:rFonts w:hint="eastAsia" w:ascii="楷体" w:hAnsi="楷体" w:eastAsia="楷体" w:cs="宋体"/>
                <w:szCs w:val="21"/>
              </w:rPr>
              <w:t xml:space="preserve">及时提高销售服务能力 </w:t>
            </w:r>
            <w:r>
              <w:rPr>
                <w:rFonts w:hint="eastAsia" w:ascii="楷体" w:hAnsi="楷体" w:eastAsia="楷体" w:cs="宋体"/>
                <w:szCs w:val="21"/>
                <w:lang w:eastAsia="zh-CN"/>
              </w:rPr>
              <w:t>、</w:t>
            </w:r>
            <w:r>
              <w:rPr>
                <w:rFonts w:hint="eastAsia" w:ascii="楷体" w:hAnsi="楷体" w:eastAsia="楷体" w:cs="宋体"/>
                <w:szCs w:val="21"/>
              </w:rPr>
              <w:t>价格合理</w:t>
            </w:r>
            <w:r>
              <w:rPr>
                <w:rFonts w:hint="eastAsia" w:ascii="楷体" w:hAnsi="楷体" w:eastAsia="楷体" w:cs="宋体"/>
                <w:szCs w:val="21"/>
                <w:lang w:eastAsia="zh-CN"/>
              </w:rPr>
              <w:t>。监视指标：顾客满意度（每半年）、销售服务合格率（季度）；顾客财产完好率（季度）</w:t>
            </w:r>
            <w:r>
              <w:rPr>
                <w:rFonts w:hint="eastAsia" w:ascii="楷体" w:hAnsi="楷体" w:eastAsia="楷体" w:cs="宋体"/>
                <w:szCs w:val="21"/>
              </w:rPr>
              <w:t>；</w:t>
            </w:r>
            <w:r>
              <w:rPr>
                <w:rFonts w:hint="eastAsia" w:ascii="楷体" w:hAnsi="楷体" w:eastAsia="楷体" w:cs="宋体"/>
                <w:szCs w:val="21"/>
                <w:lang w:eastAsia="zh-CN"/>
              </w:rPr>
              <w:t>详细监测结果见</w:t>
            </w:r>
            <w:r>
              <w:rPr>
                <w:rFonts w:hint="eastAsia" w:ascii="楷体" w:hAnsi="楷体" w:eastAsia="楷体" w:cs="宋体"/>
                <w:szCs w:val="21"/>
                <w:lang w:val="en-US" w:eastAsia="zh-CN"/>
              </w:rPr>
              <w:t>9.1.2和6.2考核情况；</w:t>
            </w:r>
          </w:p>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——抽员工：薪资、福利增加、提供培训机会、有一定的娱乐活动；监视指标：工资、加班工资及福利、培训对照表；检测结果见管理目标和绩效考核；</w:t>
            </w:r>
          </w:p>
          <w:p>
            <w:pPr>
              <w:adjustRightInd w:val="0"/>
              <w:snapToGrid w:val="0"/>
              <w:spacing w:line="300" w:lineRule="exact"/>
              <w:ind w:firstLine="420" w:firstLineChars="200"/>
              <w:rPr>
                <w:rFonts w:hint="eastAsia" w:ascii="楷体" w:hAnsi="楷体" w:eastAsia="楷体" w:cs="宋体"/>
                <w:szCs w:val="21"/>
                <w:lang w:eastAsia="zh-CN"/>
              </w:rPr>
            </w:pPr>
            <w:r>
              <w:rPr>
                <w:rFonts w:hint="eastAsia" w:ascii="楷体" w:hAnsi="楷体" w:eastAsia="楷体" w:cs="宋体"/>
                <w:szCs w:val="21"/>
              </w:rPr>
              <w:t>另</w:t>
            </w:r>
            <w:r>
              <w:rPr>
                <w:rFonts w:hint="eastAsia" w:ascii="楷体" w:hAnsi="楷体" w:eastAsia="楷体" w:cs="宋体"/>
                <w:szCs w:val="21"/>
                <w:lang w:eastAsia="zh-CN"/>
              </w:rPr>
              <w:t>查</w:t>
            </w:r>
            <w:r>
              <w:rPr>
                <w:rFonts w:hint="eastAsia" w:ascii="楷体" w:hAnsi="楷体" w:eastAsia="楷体" w:cs="宋体"/>
                <w:szCs w:val="21"/>
              </w:rPr>
              <w:t>其他相关方</w:t>
            </w:r>
            <w:r>
              <w:rPr>
                <w:rFonts w:hint="eastAsia" w:ascii="楷体" w:hAnsi="楷体" w:eastAsia="楷体" w:cs="宋体"/>
                <w:szCs w:val="21"/>
                <w:lang w:eastAsia="zh-CN"/>
              </w:rPr>
              <w:t>评审了其</w:t>
            </w:r>
            <w:r>
              <w:rPr>
                <w:rFonts w:hint="eastAsia" w:ascii="楷体" w:hAnsi="楷体" w:eastAsia="楷体" w:cs="宋体"/>
                <w:szCs w:val="21"/>
              </w:rPr>
              <w:t>需求，</w:t>
            </w:r>
            <w:r>
              <w:rPr>
                <w:rFonts w:hint="eastAsia" w:ascii="楷体" w:hAnsi="楷体" w:eastAsia="楷体" w:cs="宋体"/>
                <w:szCs w:val="21"/>
                <w:lang w:eastAsia="zh-CN"/>
              </w:rPr>
              <w:t>建立了检测指标，</w:t>
            </w:r>
            <w:r>
              <w:rPr>
                <w:rFonts w:hint="eastAsia" w:ascii="楷体" w:hAnsi="楷体" w:eastAsia="楷体" w:cs="宋体"/>
                <w:szCs w:val="21"/>
              </w:rPr>
              <w:t>符合要求。</w:t>
            </w:r>
          </w:p>
          <w:p>
            <w:pPr>
              <w:adjustRightInd w:val="0"/>
              <w:snapToGrid w:val="0"/>
              <w:spacing w:line="300" w:lineRule="exact"/>
              <w:ind w:firstLine="420" w:firstLineChars="200"/>
              <w:rPr>
                <w:rFonts w:hint="eastAsia" w:ascii="楷体" w:hAnsi="楷体" w:eastAsia="楷体" w:cs="宋体"/>
                <w:szCs w:val="21"/>
                <w:lang w:eastAsia="zh-CN"/>
              </w:rPr>
            </w:pPr>
            <w:r>
              <w:rPr>
                <w:rFonts w:hint="eastAsia" w:ascii="楷体" w:hAnsi="楷体" w:eastAsia="楷体" w:cs="宋体"/>
                <w:szCs w:val="21"/>
              </w:rPr>
              <w:t>目前企业未发生处罚、相关方投诉事件</w:t>
            </w:r>
            <w:r>
              <w:rPr>
                <w:rFonts w:hint="eastAsia" w:ascii="楷体" w:hAnsi="楷体" w:eastAsia="楷体" w:cs="宋体"/>
                <w:szCs w:val="21"/>
                <w:lang w:eastAsia="zh-CN"/>
              </w:rPr>
              <w:t>。</w:t>
            </w:r>
          </w:p>
        </w:tc>
        <w:tc>
          <w:tcPr>
            <w:tcW w:w="457"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381"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rPr>
              <w:t>确定管理体系的范围</w:t>
            </w:r>
          </w:p>
        </w:tc>
        <w:tc>
          <w:tcPr>
            <w:tcW w:w="751" w:type="dxa"/>
          </w:tcPr>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QEO</w:t>
            </w:r>
          </w:p>
          <w:p>
            <w:pPr>
              <w:adjustRightInd w:val="0"/>
              <w:snapToGrid w:val="0"/>
              <w:spacing w:line="300" w:lineRule="exact"/>
              <w:rPr>
                <w:rFonts w:ascii="楷体" w:hAnsi="楷体" w:eastAsia="楷体" w:cs="宋体"/>
                <w:szCs w:val="21"/>
              </w:rPr>
            </w:pPr>
            <w:r>
              <w:rPr>
                <w:rFonts w:hint="eastAsia" w:ascii="楷体" w:hAnsi="楷体" w:eastAsia="楷体" w:cs="宋体"/>
                <w:szCs w:val="21"/>
              </w:rPr>
              <w:t>4.3</w:t>
            </w:r>
          </w:p>
          <w:p>
            <w:pPr>
              <w:adjustRightInd w:val="0"/>
              <w:snapToGrid w:val="0"/>
              <w:spacing w:line="300" w:lineRule="exact"/>
              <w:rPr>
                <w:rFonts w:ascii="楷体" w:hAnsi="楷体" w:eastAsia="楷体" w:cs="宋体"/>
                <w:szCs w:val="21"/>
              </w:rPr>
            </w:pPr>
          </w:p>
        </w:tc>
        <w:tc>
          <w:tcPr>
            <w:tcW w:w="12120" w:type="dxa"/>
          </w:tcPr>
          <w:p>
            <w:pPr>
              <w:spacing w:line="300" w:lineRule="exact"/>
              <w:rPr>
                <w:rFonts w:hint="eastAsia" w:ascii="楷体" w:hAnsi="楷体" w:eastAsia="楷体" w:cs="宋体"/>
                <w:szCs w:val="21"/>
                <w:lang w:val="en-US" w:eastAsia="zh-CN"/>
              </w:rPr>
            </w:pPr>
            <w:r>
              <w:rPr>
                <w:rFonts w:hint="eastAsia" w:ascii="楷体" w:hAnsi="楷体" w:eastAsia="楷体" w:cs="宋体"/>
                <w:szCs w:val="21"/>
                <w:lang w:val="en-US" w:eastAsia="zh-CN"/>
              </w:rPr>
              <w:sym w:font="Wingdings 2" w:char="F098"/>
            </w:r>
            <w:r>
              <w:rPr>
                <w:rFonts w:hint="eastAsia" w:ascii="楷体" w:hAnsi="楷体" w:eastAsia="楷体" w:cs="宋体"/>
                <w:szCs w:val="21"/>
                <w:lang w:val="en-US" w:eastAsia="zh-CN"/>
              </w:rPr>
              <w:t>查见公司《管理手册》，版本</w:t>
            </w:r>
            <w:r>
              <w:rPr>
                <w:rFonts w:hint="eastAsia" w:ascii="楷体" w:hAnsi="楷体" w:eastAsia="楷体" w:cs="宋体"/>
                <w:color w:val="0000FF"/>
                <w:szCs w:val="21"/>
                <w:lang w:val="en-US" w:eastAsia="zh-CN"/>
              </w:rPr>
              <w:t>B/0,</w:t>
            </w:r>
            <w:r>
              <w:rPr>
                <w:rFonts w:hint="eastAsia" w:ascii="楷体" w:hAnsi="楷体" w:eastAsia="楷体" w:cs="宋体"/>
                <w:szCs w:val="21"/>
                <w:lang w:val="en-US" w:eastAsia="zh-CN"/>
              </w:rPr>
              <w:t>发布实施时间：2022年1月10日。确定了管理体系的范围及边界。管理手册中明确了体系的范围，管理手册可获得并得到保持，查文件发放回收记录，有发放记录，有签收人签名。</w:t>
            </w:r>
          </w:p>
          <w:p>
            <w:pPr>
              <w:widowControl/>
              <w:jc w:val="left"/>
              <w:rPr>
                <w:rFonts w:ascii="楷体" w:hAnsi="楷体" w:eastAsia="楷体" w:cs="宋体"/>
                <w:szCs w:val="21"/>
              </w:rPr>
            </w:pPr>
            <w:r>
              <w:rPr>
                <w:rFonts w:hint="eastAsia" w:ascii="楷体" w:hAnsi="楷体" w:eastAsia="楷体" w:cs="宋体"/>
                <w:szCs w:val="21"/>
                <w:lang w:val="en-US" w:eastAsia="zh-CN"/>
              </w:rPr>
              <w:sym w:font="Wingdings 2" w:char="F098"/>
            </w:r>
            <w:r>
              <w:rPr>
                <w:rFonts w:hint="eastAsia" w:ascii="楷体" w:hAnsi="楷体" w:eastAsia="楷体" w:cs="宋体"/>
                <w:color w:val="000000"/>
                <w:kern w:val="0"/>
                <w:szCs w:val="21"/>
              </w:rPr>
              <w:t>公</w:t>
            </w:r>
            <w:r>
              <w:rPr>
                <w:rFonts w:hint="eastAsia" w:ascii="楷体" w:hAnsi="楷体" w:eastAsia="楷体" w:cs="宋体"/>
                <w:szCs w:val="21"/>
              </w:rPr>
              <w:t>司认证的范围是：</w:t>
            </w:r>
            <w:bookmarkStart w:id="0" w:name="审核范围"/>
          </w:p>
          <w:bookmarkEnd w:id="0"/>
          <w:p>
            <w:pPr>
              <w:spacing w:line="300" w:lineRule="exact"/>
              <w:rPr>
                <w:rFonts w:hint="eastAsia" w:ascii="楷体" w:hAnsi="楷体" w:eastAsia="楷体" w:cs="宋体"/>
                <w:szCs w:val="21"/>
              </w:rPr>
            </w:pPr>
            <w:r>
              <w:rPr>
                <w:rFonts w:hint="eastAsia" w:ascii="楷体" w:hAnsi="楷体" w:eastAsia="楷体" w:cs="宋体"/>
                <w:color w:val="000000"/>
                <w:kern w:val="0"/>
                <w:szCs w:val="21"/>
                <w:lang w:eastAsia="zh-CN"/>
              </w:rPr>
              <w:t>QEO</w:t>
            </w:r>
            <w:r>
              <w:rPr>
                <w:rFonts w:hint="eastAsia" w:ascii="楷体" w:hAnsi="楷体" w:eastAsia="楷体" w:cs="宋体"/>
                <w:color w:val="000000"/>
                <w:kern w:val="0"/>
                <w:szCs w:val="21"/>
              </w:rPr>
              <w:t>：</w:t>
            </w:r>
            <w:r>
              <w:rPr>
                <w:rFonts w:hint="eastAsia" w:ascii="楷体" w:hAnsi="楷体" w:eastAsia="楷体" w:cs="宋体"/>
                <w:szCs w:val="21"/>
                <w:lang w:val="en-US" w:eastAsia="zh-CN"/>
              </w:rPr>
              <w:t>储热式电采暖器、固体储热常压电锅炉的销售。</w:t>
            </w:r>
          </w:p>
          <w:p>
            <w:pPr>
              <w:pStyle w:val="17"/>
              <w:adjustRightInd w:val="0"/>
              <w:snapToGrid w:val="0"/>
              <w:spacing w:before="0" w:after="0" w:line="300" w:lineRule="exact"/>
              <w:rPr>
                <w:rFonts w:hint="eastAsia" w:ascii="楷体" w:hAnsi="楷体" w:eastAsia="楷体" w:cs="宋体"/>
                <w:bCs w:val="0"/>
                <w:spacing w:val="0"/>
                <w:kern w:val="2"/>
                <w:sz w:val="21"/>
                <w:szCs w:val="21"/>
                <w:lang w:val="en-US" w:eastAsia="zh-CN" w:bidi="ar-SA"/>
              </w:rPr>
            </w:pPr>
            <w:r>
              <w:rPr>
                <w:rFonts w:hint="eastAsia" w:ascii="楷体" w:hAnsi="楷体" w:eastAsia="楷体" w:cs="宋体"/>
                <w:bCs w:val="0"/>
                <w:szCs w:val="21"/>
              </w:rPr>
              <w:t>注册地址</w:t>
            </w:r>
            <w:r>
              <w:rPr>
                <w:rFonts w:hint="eastAsia" w:ascii="楷体" w:hAnsi="楷体" w:eastAsia="楷体" w:cs="宋体"/>
                <w:bCs w:val="0"/>
                <w:szCs w:val="21"/>
                <w:lang w:val="en-US" w:eastAsia="zh-CN"/>
              </w:rPr>
              <w:t>/经营地址</w:t>
            </w:r>
            <w:r>
              <w:rPr>
                <w:rFonts w:hint="eastAsia" w:ascii="楷体" w:hAnsi="楷体" w:eastAsia="楷体" w:cs="宋体"/>
                <w:bCs w:val="0"/>
                <w:szCs w:val="21"/>
              </w:rPr>
              <w:t>（同营业执照）</w:t>
            </w:r>
            <w:r>
              <w:rPr>
                <w:rFonts w:hint="eastAsia" w:ascii="楷体" w:hAnsi="楷体" w:eastAsia="楷体" w:cs="宋体"/>
                <w:bCs w:val="0"/>
                <w:szCs w:val="21"/>
                <w:lang w:eastAsia="zh-CN"/>
              </w:rPr>
              <w:t>：</w:t>
            </w:r>
            <w:r>
              <w:rPr>
                <w:rFonts w:hint="eastAsia" w:ascii="楷体" w:hAnsi="楷体" w:eastAsia="楷体" w:cs="宋体"/>
                <w:bCs w:val="0"/>
                <w:spacing w:val="0"/>
                <w:kern w:val="2"/>
                <w:sz w:val="21"/>
                <w:szCs w:val="21"/>
                <w:lang w:val="en-US" w:eastAsia="zh-CN" w:bidi="ar-SA"/>
              </w:rPr>
              <w:t>河北省石家庄市藁城区兴安镇武家庄村西南50米处；</w:t>
            </w:r>
          </w:p>
          <w:p>
            <w:pPr>
              <w:pStyle w:val="17"/>
              <w:adjustRightInd w:val="0"/>
              <w:snapToGrid w:val="0"/>
              <w:spacing w:before="0" w:after="0" w:line="300" w:lineRule="exact"/>
              <w:rPr>
                <w:rFonts w:hint="eastAsia" w:ascii="楷体" w:hAnsi="楷体" w:eastAsia="楷体" w:cs="宋体"/>
                <w:bCs w:val="0"/>
                <w:spacing w:val="0"/>
                <w:kern w:val="2"/>
                <w:sz w:val="21"/>
                <w:szCs w:val="21"/>
                <w:lang w:val="en-US" w:eastAsia="zh-CN" w:bidi="ar-SA"/>
              </w:rPr>
            </w:pPr>
            <w:r>
              <w:rPr>
                <w:rFonts w:hint="eastAsia" w:ascii="楷体" w:hAnsi="楷体" w:eastAsia="楷体" w:cs="宋体"/>
                <w:bCs w:val="0"/>
                <w:spacing w:val="0"/>
                <w:kern w:val="2"/>
                <w:sz w:val="21"/>
                <w:szCs w:val="21"/>
                <w:lang w:val="en-US" w:eastAsia="zh-CN" w:bidi="ar-SA"/>
              </w:rPr>
              <w:t>在确定质量管理体系的范围时考虑了公司的内外部因素和相关方的需求和期望，考虑了公司的产品和服务，与公司的宗旨和战略方向一致。</w:t>
            </w:r>
          </w:p>
          <w:p>
            <w:pPr>
              <w:pStyle w:val="17"/>
              <w:adjustRightInd w:val="0"/>
              <w:snapToGrid w:val="0"/>
              <w:spacing w:before="0" w:after="0" w:line="300" w:lineRule="exact"/>
              <w:rPr>
                <w:rFonts w:ascii="楷体" w:hAnsi="楷体" w:eastAsia="楷体" w:cs="宋体"/>
                <w:bCs w:val="0"/>
                <w:szCs w:val="21"/>
              </w:rPr>
            </w:pPr>
            <w:r>
              <w:rPr>
                <w:rFonts w:hint="eastAsia" w:ascii="楷体" w:hAnsi="楷体" w:eastAsia="楷体" w:cs="宋体"/>
                <w:bCs w:val="0"/>
                <w:spacing w:val="0"/>
                <w:kern w:val="2"/>
                <w:sz w:val="21"/>
                <w:szCs w:val="21"/>
                <w:lang w:val="en-US" w:eastAsia="zh-CN" w:bidi="ar-SA"/>
              </w:rPr>
              <w:t>符合标准要求。</w:t>
            </w:r>
          </w:p>
        </w:tc>
        <w:tc>
          <w:tcPr>
            <w:tcW w:w="457"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rPr>
              <w:t>管理体系及其过程</w:t>
            </w:r>
          </w:p>
        </w:tc>
        <w:tc>
          <w:tcPr>
            <w:tcW w:w="751" w:type="dxa"/>
          </w:tcPr>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QEO</w:t>
            </w:r>
          </w:p>
          <w:p>
            <w:pPr>
              <w:adjustRightInd w:val="0"/>
              <w:snapToGrid w:val="0"/>
              <w:spacing w:line="300" w:lineRule="exact"/>
              <w:rPr>
                <w:rFonts w:ascii="楷体" w:hAnsi="楷体" w:eastAsia="楷体" w:cs="宋体"/>
                <w:szCs w:val="21"/>
              </w:rPr>
            </w:pPr>
            <w:r>
              <w:rPr>
                <w:rFonts w:hint="eastAsia" w:ascii="楷体" w:hAnsi="楷体" w:eastAsia="楷体" w:cs="宋体"/>
                <w:szCs w:val="21"/>
              </w:rPr>
              <w:t xml:space="preserve">4.4 </w:t>
            </w:r>
          </w:p>
          <w:p>
            <w:pPr>
              <w:adjustRightInd w:val="0"/>
              <w:snapToGrid w:val="0"/>
              <w:spacing w:line="300" w:lineRule="exact"/>
              <w:rPr>
                <w:rFonts w:ascii="楷体" w:hAnsi="楷体" w:eastAsia="楷体" w:cs="宋体"/>
                <w:szCs w:val="21"/>
              </w:rPr>
            </w:pPr>
          </w:p>
        </w:tc>
        <w:tc>
          <w:tcPr>
            <w:tcW w:w="12120"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lang w:val="en-US" w:eastAsia="zh-CN"/>
              </w:rPr>
              <w:sym w:font="Wingdings 2" w:char="F098"/>
            </w:r>
            <w:r>
              <w:rPr>
                <w:rFonts w:hint="eastAsia" w:ascii="楷体" w:hAnsi="楷体" w:eastAsia="楷体" w:cs="宋体"/>
                <w:szCs w:val="21"/>
                <w:lang w:val="zh-CN"/>
              </w:rPr>
              <w:t xml:space="preserve">本公司按照 </w:t>
            </w:r>
            <w:r>
              <w:rPr>
                <w:rFonts w:hint="eastAsia" w:ascii="楷体" w:hAnsi="楷体" w:eastAsia="楷体" w:cs="宋体"/>
                <w:szCs w:val="21"/>
              </w:rPr>
              <w:t>GB/T19001-2016</w:t>
            </w:r>
            <w:r>
              <w:rPr>
                <w:rFonts w:hint="eastAsia" w:ascii="楷体" w:hAnsi="楷体" w:eastAsia="楷体" w:cs="宋体"/>
                <w:szCs w:val="21"/>
                <w:lang w:val="zh-CN"/>
              </w:rPr>
              <w:t xml:space="preserve">、 </w:t>
            </w:r>
            <w:r>
              <w:rPr>
                <w:rFonts w:hint="eastAsia" w:ascii="楷体" w:hAnsi="楷体" w:eastAsia="楷体" w:cs="宋体"/>
                <w:szCs w:val="21"/>
              </w:rPr>
              <w:t>GB/T2</w:t>
            </w:r>
            <w:r>
              <w:rPr>
                <w:rFonts w:hint="eastAsia" w:ascii="楷体" w:hAnsi="楷体" w:eastAsia="楷体" w:cs="宋体"/>
                <w:szCs w:val="21"/>
                <w:lang w:val="zh-CN"/>
              </w:rPr>
              <w:t>4001</w:t>
            </w:r>
            <w:r>
              <w:rPr>
                <w:rFonts w:hint="eastAsia" w:ascii="楷体" w:hAnsi="楷体" w:eastAsia="楷体" w:cs="宋体"/>
                <w:szCs w:val="21"/>
              </w:rPr>
              <w:t>-2016</w:t>
            </w:r>
            <w:r>
              <w:rPr>
                <w:rFonts w:hint="eastAsia" w:ascii="楷体" w:hAnsi="楷体" w:eastAsia="楷体" w:cs="宋体"/>
                <w:szCs w:val="21"/>
                <w:lang w:val="zh-CN"/>
              </w:rPr>
              <w:t>和GB/T45001-2020</w:t>
            </w:r>
            <w:r>
              <w:rPr>
                <w:rFonts w:hint="eastAsia" w:ascii="楷体" w:hAnsi="楷体" w:eastAsia="楷体" w:cs="宋体"/>
                <w:szCs w:val="21"/>
              </w:rPr>
              <w:t>等</w:t>
            </w:r>
            <w:r>
              <w:rPr>
                <w:rFonts w:hint="eastAsia" w:ascii="楷体" w:hAnsi="楷体" w:eastAsia="楷体" w:cs="宋体"/>
                <w:szCs w:val="21"/>
                <w:lang w:val="zh-CN"/>
              </w:rPr>
              <w:t>标准的要求，</w:t>
            </w:r>
            <w:r>
              <w:rPr>
                <w:rFonts w:hint="eastAsia" w:ascii="楷体" w:hAnsi="楷体" w:eastAsia="楷体" w:cs="宋体"/>
                <w:szCs w:val="21"/>
              </w:rPr>
              <w:t>识别了经营各环节的过程及其相互作用，建立了</w:t>
            </w:r>
            <w:r>
              <w:rPr>
                <w:rFonts w:hint="eastAsia" w:ascii="楷体" w:hAnsi="楷体" w:eastAsia="楷体" w:cs="宋体"/>
                <w:szCs w:val="21"/>
                <w:lang w:val="zh-CN"/>
              </w:rPr>
              <w:t>质量/环境/职业健康安全管理体系,</w:t>
            </w:r>
            <w:r>
              <w:rPr>
                <w:rFonts w:hint="eastAsia" w:ascii="楷体" w:hAnsi="楷体" w:eastAsia="楷体" w:cs="宋体"/>
                <w:szCs w:val="21"/>
              </w:rPr>
              <w:t>并形成文件，本公司全体员工将有效地贯彻执行并持续改进其有效性。</w:t>
            </w:r>
          </w:p>
          <w:p>
            <w:pPr>
              <w:pStyle w:val="17"/>
              <w:adjustRightInd w:val="0"/>
              <w:snapToGrid w:val="0"/>
              <w:spacing w:before="0" w:after="0" w:line="300" w:lineRule="exact"/>
              <w:rPr>
                <w:rFonts w:hint="eastAsia" w:ascii="楷体" w:hAnsi="楷体" w:eastAsia="楷体" w:cs="宋体"/>
                <w:bCs w:val="0"/>
                <w:szCs w:val="21"/>
              </w:rPr>
            </w:pPr>
            <w:r>
              <w:rPr>
                <w:rFonts w:hint="eastAsia" w:ascii="楷体" w:hAnsi="楷体" w:eastAsia="楷体" w:cs="宋体"/>
                <w:bCs w:val="0"/>
                <w:szCs w:val="21"/>
              </w:rPr>
              <w:t>管理体系及其过程：公司于202</w:t>
            </w:r>
            <w:r>
              <w:rPr>
                <w:rFonts w:ascii="楷体" w:hAnsi="楷体" w:eastAsia="楷体" w:cs="宋体"/>
                <w:bCs w:val="0"/>
                <w:szCs w:val="21"/>
              </w:rPr>
              <w:t>1</w:t>
            </w:r>
            <w:r>
              <w:rPr>
                <w:rFonts w:hint="eastAsia" w:ascii="楷体" w:hAnsi="楷体" w:eastAsia="楷体" w:cs="宋体"/>
                <w:bCs w:val="0"/>
                <w:szCs w:val="21"/>
              </w:rPr>
              <w:t>年对质量/环境/职业健康安全管理体系进行策划，识别了各个过程、环境因素、危险源等，编制了管理手册、程序文件、支持性文件及记录，于202</w:t>
            </w:r>
            <w:r>
              <w:rPr>
                <w:rFonts w:hint="eastAsia" w:ascii="楷体" w:hAnsi="楷体" w:eastAsia="楷体" w:cs="宋体"/>
                <w:bCs w:val="0"/>
                <w:szCs w:val="21"/>
                <w:lang w:val="en-US" w:eastAsia="zh-CN"/>
              </w:rPr>
              <w:t>2</w:t>
            </w:r>
            <w:r>
              <w:rPr>
                <w:rFonts w:hint="eastAsia" w:ascii="楷体" w:hAnsi="楷体" w:eastAsia="楷体" w:cs="宋体"/>
                <w:bCs w:val="0"/>
                <w:szCs w:val="21"/>
              </w:rPr>
              <w:t>年</w:t>
            </w:r>
            <w:r>
              <w:rPr>
                <w:rFonts w:hint="eastAsia" w:ascii="楷体" w:hAnsi="楷体" w:eastAsia="楷体" w:cs="宋体"/>
                <w:bCs w:val="0"/>
                <w:szCs w:val="21"/>
                <w:lang w:val="en-US" w:eastAsia="zh-CN"/>
              </w:rPr>
              <w:t>1</w:t>
            </w:r>
            <w:r>
              <w:rPr>
                <w:rFonts w:hint="eastAsia" w:ascii="楷体" w:hAnsi="楷体" w:eastAsia="楷体" w:cs="宋体"/>
                <w:bCs w:val="0"/>
                <w:szCs w:val="21"/>
              </w:rPr>
              <w:t>月</w:t>
            </w:r>
            <w:r>
              <w:rPr>
                <w:rFonts w:hint="eastAsia" w:ascii="楷体" w:hAnsi="楷体" w:eastAsia="楷体" w:cs="宋体"/>
                <w:bCs w:val="0"/>
                <w:szCs w:val="21"/>
                <w:lang w:val="en-US" w:eastAsia="zh-CN"/>
              </w:rPr>
              <w:t>10</w:t>
            </w:r>
            <w:r>
              <w:rPr>
                <w:rFonts w:hint="eastAsia" w:ascii="楷体" w:hAnsi="楷体" w:eastAsia="楷体" w:cs="宋体"/>
                <w:bCs w:val="0"/>
                <w:szCs w:val="21"/>
              </w:rPr>
              <w:t>日</w:t>
            </w:r>
            <w:r>
              <w:rPr>
                <w:rFonts w:hint="eastAsia" w:ascii="楷体" w:hAnsi="楷体" w:eastAsia="楷体" w:cs="宋体"/>
                <w:bCs w:val="0"/>
                <w:szCs w:val="21"/>
                <w:lang w:val="zh-CN"/>
              </w:rPr>
              <w:t>发布</w:t>
            </w:r>
            <w:r>
              <w:rPr>
                <w:rFonts w:hint="eastAsia" w:ascii="楷体" w:hAnsi="楷体" w:eastAsia="楷体" w:cs="宋体"/>
                <w:bCs w:val="0"/>
                <w:szCs w:val="21"/>
              </w:rPr>
              <w:t>并</w:t>
            </w:r>
            <w:r>
              <w:rPr>
                <w:rFonts w:hint="eastAsia" w:ascii="楷体" w:hAnsi="楷体" w:eastAsia="楷体" w:cs="宋体"/>
                <w:bCs w:val="0"/>
                <w:szCs w:val="21"/>
                <w:lang w:val="zh-CN"/>
              </w:rPr>
              <w:t>实施。</w:t>
            </w:r>
            <w:r>
              <w:rPr>
                <w:rFonts w:hint="eastAsia" w:ascii="楷体" w:hAnsi="楷体" w:eastAsia="楷体" w:cs="宋体"/>
                <w:bCs w:val="0"/>
                <w:szCs w:val="21"/>
              </w:rPr>
              <w:t>经过</w:t>
            </w:r>
            <w:r>
              <w:rPr>
                <w:rFonts w:hint="eastAsia" w:ascii="楷体" w:hAnsi="楷体" w:eastAsia="楷体" w:cs="宋体"/>
                <w:bCs w:val="0"/>
                <w:szCs w:val="21"/>
                <w:lang w:eastAsia="zh-CN"/>
              </w:rPr>
              <w:t>近半年</w:t>
            </w:r>
            <w:r>
              <w:rPr>
                <w:rFonts w:hint="eastAsia" w:ascii="楷体" w:hAnsi="楷体" w:eastAsia="楷体" w:cs="宋体"/>
                <w:bCs w:val="0"/>
                <w:szCs w:val="21"/>
              </w:rPr>
              <w:t>的运行，管理体系运行正常。</w:t>
            </w:r>
          </w:p>
          <w:p>
            <w:pPr>
              <w:pStyle w:val="17"/>
              <w:adjustRightInd w:val="0"/>
              <w:snapToGrid w:val="0"/>
              <w:spacing w:before="0" w:after="0" w:line="300" w:lineRule="exact"/>
              <w:rPr>
                <w:rFonts w:hint="eastAsia" w:ascii="楷体" w:hAnsi="楷体" w:eastAsia="楷体" w:cs="宋体"/>
                <w:bCs w:val="0"/>
                <w:szCs w:val="21"/>
                <w:lang w:eastAsia="zh-CN"/>
              </w:rPr>
            </w:pPr>
            <w:r>
              <w:rPr>
                <w:rFonts w:hint="eastAsia" w:ascii="楷体" w:hAnsi="楷体" w:eastAsia="楷体" w:cs="宋体"/>
                <w:szCs w:val="21"/>
                <w:lang w:val="en-US" w:eastAsia="zh-CN"/>
              </w:rPr>
              <w:sym w:font="Wingdings 2" w:char="F098"/>
            </w:r>
            <w:r>
              <w:rPr>
                <w:rFonts w:hint="eastAsia" w:ascii="楷体" w:hAnsi="楷体" w:eastAsia="楷体" w:cs="宋体"/>
                <w:bCs w:val="0"/>
                <w:szCs w:val="21"/>
                <w:lang w:eastAsia="zh-CN"/>
              </w:rPr>
              <w:t>识别出外包过程：产品运输。</w:t>
            </w:r>
          </w:p>
        </w:tc>
        <w:tc>
          <w:tcPr>
            <w:tcW w:w="457"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81"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rPr>
              <w:t>领导作用和承诺</w:t>
            </w:r>
          </w:p>
        </w:tc>
        <w:tc>
          <w:tcPr>
            <w:tcW w:w="751" w:type="dxa"/>
          </w:tcPr>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QEO</w:t>
            </w:r>
          </w:p>
          <w:p>
            <w:pPr>
              <w:adjustRightInd w:val="0"/>
              <w:snapToGrid w:val="0"/>
              <w:spacing w:line="300" w:lineRule="exact"/>
              <w:rPr>
                <w:rFonts w:ascii="楷体" w:hAnsi="楷体" w:eastAsia="楷体" w:cs="宋体"/>
                <w:szCs w:val="21"/>
              </w:rPr>
            </w:pPr>
            <w:r>
              <w:rPr>
                <w:rFonts w:hint="eastAsia" w:ascii="楷体" w:hAnsi="楷体" w:eastAsia="楷体" w:cs="宋体"/>
                <w:szCs w:val="21"/>
              </w:rPr>
              <w:t>5.1</w:t>
            </w:r>
          </w:p>
          <w:p>
            <w:pPr>
              <w:adjustRightInd w:val="0"/>
              <w:snapToGrid w:val="0"/>
              <w:spacing w:line="300" w:lineRule="exact"/>
              <w:rPr>
                <w:rFonts w:ascii="楷体" w:hAnsi="楷体" w:eastAsia="楷体" w:cs="宋体"/>
                <w:szCs w:val="21"/>
              </w:rPr>
            </w:pPr>
          </w:p>
        </w:tc>
        <w:tc>
          <w:tcPr>
            <w:tcW w:w="12120" w:type="dxa"/>
          </w:tcPr>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rPr>
              <w:t>公司最高管理者通过以下活动证实其对质量环境职业健康安全管理体系的领导作用和承诺：</w:t>
            </w:r>
            <w:r>
              <w:rPr>
                <w:rFonts w:hint="eastAsia" w:ascii="楷体" w:hAnsi="楷体" w:eastAsia="楷体" w:cs="宋体"/>
                <w:szCs w:val="21"/>
              </w:rPr>
              <w:br w:type="textWrapping"/>
            </w:r>
            <w:r>
              <w:rPr>
                <w:rFonts w:hint="eastAsia" w:ascii="楷体" w:hAnsi="楷体" w:eastAsia="楷体" w:cs="宋体"/>
                <w:szCs w:val="21"/>
              </w:rPr>
              <w:t xml:space="preserve"> </w:t>
            </w:r>
            <w:r>
              <w:rPr>
                <w:rFonts w:hint="eastAsia" w:ascii="楷体" w:hAnsi="楷体" w:eastAsia="楷体" w:cs="宋体"/>
                <w:szCs w:val="21"/>
                <w:lang w:eastAsia="zh-CN"/>
              </w:rPr>
              <w:t>a)主持制定质量、环境和职业健康安全方针，批准目标和指标，批准管理手册．对公司管理体系的建立、完善、实施和保持负决策责任，对质量、环境与职业健康安全负最终责任；</w:t>
            </w:r>
          </w:p>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 xml:space="preserve"> b)向公司传达满足顾客、相关方要求和法律、法规要求的重要性；</w:t>
            </w:r>
          </w:p>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 xml:space="preserve"> c)主持管理评审，审批评审报告，确保管理体系的持续适宜性、充分性和有效性；</w:t>
            </w:r>
          </w:p>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d)任命管理者代表；</w:t>
            </w:r>
          </w:p>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e)建立组织结构，为管理体系的实施与控制提供必要的资源：</w:t>
            </w:r>
          </w:p>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f)建立组织内外的适当沟通过程，确保管理体系的有效运行；</w:t>
            </w:r>
          </w:p>
          <w:p>
            <w:pPr>
              <w:adjustRightInd w:val="0"/>
              <w:snapToGrid w:val="0"/>
              <w:spacing w:line="300" w:lineRule="exact"/>
              <w:rPr>
                <w:rFonts w:hint="eastAsia" w:ascii="宋体" w:hAnsi="宋体"/>
                <w:sz w:val="24"/>
              </w:rPr>
            </w:pPr>
            <w:r>
              <w:rPr>
                <w:rFonts w:hint="eastAsia" w:ascii="楷体" w:hAnsi="楷体" w:eastAsia="楷体" w:cs="宋体"/>
                <w:szCs w:val="21"/>
                <w:lang w:eastAsia="zh-CN"/>
              </w:rPr>
              <w:t>g)负责为实现目标指标和管理方案提供技术、财务支持；负责明确职工质量、环境和职业健康安全职责权限，提供必要的资源，包括专项技能、基础设施、技术和财力资源；负责对重大质量环境和安全事故的调查和处理</w:t>
            </w:r>
            <w:r>
              <w:rPr>
                <w:rFonts w:hint="eastAsia" w:ascii="宋体" w:hAnsi="宋体"/>
                <w:sz w:val="24"/>
              </w:rPr>
              <w:t>。</w:t>
            </w:r>
          </w:p>
          <w:p>
            <w:pPr>
              <w:adjustRightInd w:val="0"/>
              <w:snapToGrid w:val="0"/>
              <w:spacing w:line="300" w:lineRule="exact"/>
              <w:rPr>
                <w:rFonts w:ascii="楷体" w:hAnsi="楷体" w:eastAsia="楷体" w:cs="宋体"/>
                <w:szCs w:val="21"/>
              </w:rPr>
            </w:pPr>
            <w:r>
              <w:rPr>
                <w:rFonts w:hint="eastAsia" w:ascii="楷体" w:hAnsi="楷体" w:eastAsia="楷体" w:cs="宋体"/>
                <w:szCs w:val="21"/>
                <w:lang w:eastAsia="zh-CN"/>
              </w:rPr>
              <w:t>与管理层沟通，有较强的管意识，能说出自己对于体系的领导作用和承诺，回答基本正确。</w:t>
            </w:r>
            <w:r>
              <w:rPr>
                <w:rFonts w:hint="eastAsia" w:ascii="楷体" w:hAnsi="楷体" w:eastAsia="楷体" w:cs="宋体"/>
                <w:szCs w:val="21"/>
              </w:rPr>
              <w:t>公司最高管理者组织相关部门制订发展规划、管理承诺、管理方针及管理目标，</w:t>
            </w:r>
            <w:r>
              <w:rPr>
                <w:rFonts w:hint="eastAsia" w:ascii="楷体" w:hAnsi="楷体" w:eastAsia="楷体" w:cs="宋体"/>
                <w:szCs w:val="21"/>
                <w:lang w:eastAsia="zh-CN"/>
              </w:rPr>
              <w:t>始终致力于顾客满意，</w:t>
            </w:r>
            <w:r>
              <w:rPr>
                <w:rFonts w:hint="eastAsia" w:ascii="楷体" w:hAnsi="楷体" w:eastAsia="楷体" w:cs="宋体"/>
                <w:szCs w:val="21"/>
              </w:rPr>
              <w:t>提高员工队伍整体素质。</w:t>
            </w:r>
          </w:p>
        </w:tc>
        <w:tc>
          <w:tcPr>
            <w:tcW w:w="457"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rPr>
              <w:t>管理方针</w:t>
            </w:r>
          </w:p>
        </w:tc>
        <w:tc>
          <w:tcPr>
            <w:tcW w:w="751" w:type="dxa"/>
          </w:tcPr>
          <w:p>
            <w:pPr>
              <w:rPr>
                <w:rFonts w:hint="eastAsia" w:ascii="楷体" w:hAnsi="楷体" w:eastAsia="楷体"/>
                <w:szCs w:val="21"/>
                <w:lang w:eastAsia="zh-CN"/>
              </w:rPr>
            </w:pPr>
            <w:r>
              <w:rPr>
                <w:rFonts w:hint="eastAsia" w:ascii="楷体" w:hAnsi="楷体" w:eastAsia="楷体"/>
                <w:szCs w:val="21"/>
                <w:lang w:eastAsia="zh-CN"/>
              </w:rPr>
              <w:t>QEO</w:t>
            </w:r>
          </w:p>
          <w:p>
            <w:pPr>
              <w:rPr>
                <w:rFonts w:hint="eastAsia" w:ascii="楷体" w:hAnsi="楷体" w:eastAsia="楷体"/>
                <w:szCs w:val="21"/>
              </w:rPr>
            </w:pPr>
            <w:r>
              <w:rPr>
                <w:rFonts w:hint="eastAsia" w:ascii="楷体" w:hAnsi="楷体" w:eastAsia="楷体"/>
                <w:szCs w:val="21"/>
              </w:rPr>
              <w:t>5.2</w:t>
            </w:r>
          </w:p>
          <w:p>
            <w:pPr>
              <w:rPr>
                <w:rFonts w:hint="eastAsia" w:ascii="楷体" w:hAnsi="楷体" w:eastAsia="楷体"/>
                <w:szCs w:val="21"/>
              </w:rPr>
            </w:pPr>
          </w:p>
        </w:tc>
        <w:tc>
          <w:tcPr>
            <w:tcW w:w="12120" w:type="dxa"/>
          </w:tcPr>
          <w:p>
            <w:pPr>
              <w:rPr>
                <w:rFonts w:hint="eastAsia" w:ascii="楷体" w:hAnsi="楷体" w:eastAsia="楷体"/>
                <w:szCs w:val="21"/>
              </w:rPr>
            </w:pPr>
            <w:r>
              <w:rPr>
                <w:rFonts w:hint="eastAsia" w:ascii="楷体" w:hAnsi="楷体" w:eastAsia="楷体"/>
                <w:szCs w:val="21"/>
                <w:lang w:eastAsia="zh-CN"/>
              </w:rPr>
              <w:t>查见《</w:t>
            </w:r>
            <w:r>
              <w:rPr>
                <w:rFonts w:hint="eastAsia" w:ascii="楷体" w:hAnsi="楷体" w:eastAsia="楷体"/>
                <w:szCs w:val="21"/>
              </w:rPr>
              <w:t>管理手册</w:t>
            </w:r>
            <w:r>
              <w:rPr>
                <w:rFonts w:hint="eastAsia" w:ascii="楷体" w:hAnsi="楷体" w:eastAsia="楷体"/>
                <w:szCs w:val="21"/>
                <w:lang w:eastAsia="zh-CN"/>
              </w:rPr>
              <w:t>》，</w:t>
            </w:r>
            <w:r>
              <w:rPr>
                <w:rFonts w:hint="eastAsia" w:ascii="楷体" w:hAnsi="楷体" w:eastAsia="楷体"/>
                <w:szCs w:val="21"/>
              </w:rPr>
              <w:t>制定了</w:t>
            </w:r>
            <w:r>
              <w:rPr>
                <w:rFonts w:hint="eastAsia" w:ascii="楷体" w:hAnsi="楷体" w:eastAsia="楷体"/>
                <w:szCs w:val="21"/>
                <w:lang w:eastAsia="zh-CN"/>
              </w:rPr>
              <w:t>企业的</w:t>
            </w:r>
            <w:r>
              <w:rPr>
                <w:rFonts w:hint="eastAsia" w:ascii="楷体" w:hAnsi="楷体" w:eastAsia="楷体"/>
                <w:szCs w:val="21"/>
              </w:rPr>
              <w:t>管理方针</w:t>
            </w:r>
            <w:r>
              <w:rPr>
                <w:rFonts w:hint="eastAsia" w:ascii="楷体" w:hAnsi="楷体" w:eastAsia="楷体"/>
                <w:szCs w:val="21"/>
                <w:lang w:eastAsia="zh-CN"/>
              </w:rPr>
              <w:t>，</w:t>
            </w:r>
            <w:r>
              <w:rPr>
                <w:rFonts w:hint="eastAsia" w:ascii="楷体" w:hAnsi="楷体" w:eastAsia="楷体"/>
                <w:szCs w:val="21"/>
              </w:rPr>
              <w:t>其中质量方针：</w:t>
            </w:r>
          </w:p>
          <w:p>
            <w:pPr>
              <w:rPr>
                <w:rFonts w:hint="eastAsia" w:ascii="楷体" w:hAnsi="楷体" w:eastAsia="楷体"/>
                <w:szCs w:val="21"/>
              </w:rPr>
            </w:pPr>
            <w:r>
              <w:rPr>
                <w:rFonts w:hint="eastAsia" w:ascii="楷体" w:hAnsi="楷体" w:eastAsia="楷体"/>
                <w:szCs w:val="21"/>
              </w:rPr>
              <w:t>坚持产品质量第一，确保增进顾客满意；</w:t>
            </w:r>
          </w:p>
          <w:p>
            <w:pPr>
              <w:rPr>
                <w:rFonts w:hint="eastAsia" w:ascii="楷体" w:hAnsi="楷体" w:eastAsia="楷体"/>
                <w:szCs w:val="21"/>
              </w:rPr>
            </w:pPr>
            <w:r>
              <w:rPr>
                <w:rFonts w:hint="eastAsia" w:ascii="楷体" w:hAnsi="楷体" w:eastAsia="楷体"/>
                <w:szCs w:val="21"/>
              </w:rPr>
              <w:t>坚持遵守法律法规，实现环保安全目标；</w:t>
            </w:r>
          </w:p>
          <w:p>
            <w:pPr>
              <w:rPr>
                <w:rFonts w:hint="eastAsia" w:ascii="楷体" w:hAnsi="楷体" w:eastAsia="楷体"/>
                <w:szCs w:val="21"/>
              </w:rPr>
            </w:pPr>
            <w:r>
              <w:rPr>
                <w:rFonts w:hint="eastAsia" w:ascii="楷体" w:hAnsi="楷体" w:eastAsia="楷体"/>
                <w:szCs w:val="21"/>
              </w:rPr>
              <w:t>规范企业经营管理，持续改进管理体系。</w:t>
            </w:r>
          </w:p>
          <w:p>
            <w:pPr>
              <w:rPr>
                <w:rFonts w:hint="eastAsia" w:ascii="楷体" w:hAnsi="楷体" w:eastAsia="楷体"/>
                <w:szCs w:val="21"/>
              </w:rPr>
            </w:pPr>
            <w:r>
              <w:rPr>
                <w:rFonts w:hint="eastAsia" w:ascii="楷体" w:hAnsi="楷体" w:eastAsia="楷体"/>
                <w:szCs w:val="21"/>
              </w:rPr>
              <w:t>公司的管理方针记录在</w:t>
            </w:r>
            <w:r>
              <w:rPr>
                <w:rFonts w:hint="eastAsia" w:ascii="楷体" w:hAnsi="楷体" w:eastAsia="楷体"/>
                <w:szCs w:val="21"/>
                <w:lang w:eastAsia="zh-CN"/>
              </w:rPr>
              <w:t>《</w:t>
            </w:r>
            <w:r>
              <w:rPr>
                <w:rFonts w:hint="eastAsia" w:ascii="楷体" w:hAnsi="楷体" w:eastAsia="楷体"/>
                <w:szCs w:val="21"/>
              </w:rPr>
              <w:t>管理手册</w:t>
            </w:r>
            <w:r>
              <w:rPr>
                <w:rFonts w:hint="eastAsia" w:ascii="楷体" w:hAnsi="楷体" w:eastAsia="楷体"/>
                <w:szCs w:val="21"/>
                <w:lang w:eastAsia="zh-CN"/>
              </w:rPr>
              <w:t>》</w:t>
            </w:r>
            <w:r>
              <w:rPr>
                <w:rFonts w:hint="eastAsia" w:ascii="楷体" w:hAnsi="楷体" w:eastAsia="楷体"/>
                <w:szCs w:val="21"/>
              </w:rPr>
              <w:t>中，并在组织内部得到广泛的宣传、沟通。</w:t>
            </w:r>
          </w:p>
          <w:p>
            <w:pPr>
              <w:rPr>
                <w:rFonts w:hint="eastAsia" w:ascii="楷体" w:hAnsi="楷体" w:eastAsia="楷体"/>
                <w:szCs w:val="21"/>
              </w:rPr>
            </w:pPr>
            <w:r>
              <w:rPr>
                <w:rFonts w:hint="eastAsia" w:ascii="楷体" w:hAnsi="楷体" w:eastAsia="楷体"/>
                <w:szCs w:val="21"/>
              </w:rPr>
              <w:t>方针是管理层共同研究决定的，结合了公司</w:t>
            </w:r>
            <w:r>
              <w:rPr>
                <w:rFonts w:hint="eastAsia" w:ascii="楷体" w:hAnsi="楷体" w:eastAsia="楷体"/>
                <w:szCs w:val="21"/>
                <w:lang w:eastAsia="zh-CN"/>
              </w:rPr>
              <w:t>服务</w:t>
            </w:r>
            <w:r>
              <w:rPr>
                <w:rFonts w:hint="eastAsia" w:ascii="楷体" w:hAnsi="楷体" w:eastAsia="楷体"/>
                <w:szCs w:val="21"/>
              </w:rPr>
              <w:t>特点和目前的实际状况。方针初步制定后，由公司员工进行讨论，在公司</w:t>
            </w:r>
            <w:r>
              <w:rPr>
                <w:rFonts w:hint="eastAsia" w:ascii="楷体" w:hAnsi="楷体" w:eastAsia="楷体"/>
                <w:szCs w:val="21"/>
                <w:lang w:eastAsia="zh-CN"/>
              </w:rPr>
              <w:t>管理</w:t>
            </w:r>
            <w:r>
              <w:rPr>
                <w:rFonts w:hint="eastAsia" w:ascii="楷体" w:hAnsi="楷体" w:eastAsia="楷体"/>
                <w:szCs w:val="21"/>
              </w:rPr>
              <w:t>体系文件的发布会上，对管理方针和目标进行了讲解，使全体员工能够理解。同时，</w:t>
            </w:r>
            <w:r>
              <w:rPr>
                <w:rFonts w:hint="eastAsia" w:ascii="楷体" w:hAnsi="楷体" w:eastAsia="楷体"/>
                <w:szCs w:val="21"/>
                <w:lang w:eastAsia="zh-CN"/>
              </w:rPr>
              <w:t>通过贯标培训</w:t>
            </w:r>
            <w:r>
              <w:rPr>
                <w:rFonts w:hint="eastAsia" w:ascii="楷体" w:hAnsi="楷体" w:eastAsia="楷体"/>
                <w:szCs w:val="21"/>
              </w:rPr>
              <w:t>、文件下发，内部理解，实施过程中，始终强调方针的意义的内涵。</w:t>
            </w:r>
          </w:p>
          <w:p>
            <w:pPr>
              <w:rPr>
                <w:rFonts w:hint="eastAsia" w:ascii="楷体" w:hAnsi="楷体" w:eastAsia="楷体"/>
                <w:szCs w:val="21"/>
              </w:rPr>
            </w:pPr>
            <w:r>
              <w:rPr>
                <w:rFonts w:hint="eastAsia" w:ascii="楷体" w:hAnsi="楷体" w:eastAsia="楷体"/>
                <w:szCs w:val="21"/>
              </w:rPr>
              <w:t>通过文件、告知书、合同（与投标文件中提到）等物理介质或电子方式向相关方提供。</w:t>
            </w:r>
          </w:p>
          <w:p>
            <w:pPr>
              <w:rPr>
                <w:rFonts w:hint="eastAsia" w:ascii="楷体" w:hAnsi="楷体" w:eastAsia="楷体"/>
                <w:szCs w:val="21"/>
              </w:rPr>
            </w:pPr>
            <w:r>
              <w:rPr>
                <w:rFonts w:hint="eastAsia" w:ascii="楷体" w:hAnsi="楷体" w:eastAsia="楷体"/>
                <w:szCs w:val="21"/>
              </w:rPr>
              <w:t>经202</w:t>
            </w:r>
            <w:r>
              <w:rPr>
                <w:rFonts w:hint="eastAsia" w:ascii="楷体" w:hAnsi="楷体" w:eastAsia="楷体"/>
                <w:szCs w:val="21"/>
                <w:lang w:val="en-US" w:eastAsia="zh-CN"/>
              </w:rPr>
              <w:t>2</w:t>
            </w:r>
            <w:r>
              <w:rPr>
                <w:rFonts w:hint="eastAsia" w:ascii="楷体" w:hAnsi="楷体" w:eastAsia="楷体"/>
                <w:szCs w:val="21"/>
              </w:rPr>
              <w:t>年</w:t>
            </w:r>
            <w:r>
              <w:rPr>
                <w:rFonts w:hint="eastAsia" w:ascii="楷体" w:hAnsi="楷体" w:eastAsia="楷体"/>
                <w:szCs w:val="21"/>
                <w:lang w:val="en-US" w:eastAsia="zh-CN"/>
              </w:rPr>
              <w:t>6</w:t>
            </w:r>
            <w:r>
              <w:rPr>
                <w:rFonts w:hint="eastAsia" w:ascii="楷体" w:hAnsi="楷体" w:eastAsia="楷体"/>
                <w:szCs w:val="21"/>
              </w:rPr>
              <w:t>月</w:t>
            </w:r>
            <w:r>
              <w:rPr>
                <w:rFonts w:hint="eastAsia" w:ascii="楷体" w:hAnsi="楷体" w:eastAsia="楷体"/>
                <w:szCs w:val="21"/>
                <w:lang w:val="en-US" w:eastAsia="zh-CN"/>
              </w:rPr>
              <w:t>15</w:t>
            </w:r>
            <w:r>
              <w:rPr>
                <w:rFonts w:hint="eastAsia" w:ascii="楷体" w:hAnsi="楷体" w:eastAsia="楷体"/>
                <w:szCs w:val="21"/>
              </w:rPr>
              <w:t>日</w:t>
            </w:r>
            <w:r>
              <w:rPr>
                <w:rFonts w:hint="eastAsia" w:ascii="楷体" w:hAnsi="楷体" w:eastAsia="楷体"/>
                <w:szCs w:val="21"/>
                <w:lang w:eastAsia="zh-CN"/>
              </w:rPr>
              <w:t>召开</w:t>
            </w:r>
            <w:r>
              <w:rPr>
                <w:rFonts w:hint="eastAsia" w:ascii="楷体" w:hAnsi="楷体" w:eastAsia="楷体"/>
                <w:szCs w:val="21"/>
              </w:rPr>
              <w:t>的管理评审</w:t>
            </w:r>
            <w:r>
              <w:rPr>
                <w:rFonts w:hint="eastAsia" w:ascii="楷体" w:hAnsi="楷体" w:eastAsia="楷体"/>
                <w:szCs w:val="21"/>
                <w:lang w:eastAsia="zh-CN"/>
              </w:rPr>
              <w:t>会议评审</w:t>
            </w:r>
            <w:r>
              <w:rPr>
                <w:rFonts w:hint="eastAsia" w:ascii="楷体" w:hAnsi="楷体" w:eastAsia="楷体"/>
                <w:szCs w:val="21"/>
              </w:rPr>
              <w:t>，管理方针适应其宗旨和环境并支持其长远战略方向；为制定管理目标提供框架；包括满足适用要求的承诺和持续改进质量管理体系的承诺。方针基本能够满足标准的要求。</w:t>
            </w:r>
          </w:p>
          <w:p>
            <w:pPr>
              <w:rPr>
                <w:rFonts w:hint="eastAsia" w:ascii="楷体" w:hAnsi="楷体" w:eastAsia="楷体"/>
                <w:szCs w:val="21"/>
              </w:rPr>
            </w:pPr>
            <w:r>
              <w:rPr>
                <w:rFonts w:hint="eastAsia" w:ascii="楷体" w:hAnsi="楷体" w:eastAsia="楷体"/>
                <w:szCs w:val="21"/>
              </w:rPr>
              <w:t>基本符合要求。</w:t>
            </w:r>
          </w:p>
        </w:tc>
        <w:tc>
          <w:tcPr>
            <w:tcW w:w="457"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381"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rPr>
              <w:t>组织的岗位、职责和权限</w:t>
            </w:r>
          </w:p>
        </w:tc>
        <w:tc>
          <w:tcPr>
            <w:tcW w:w="751" w:type="dxa"/>
          </w:tcPr>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QEO</w:t>
            </w:r>
          </w:p>
          <w:p>
            <w:pPr>
              <w:adjustRightInd w:val="0"/>
              <w:snapToGrid w:val="0"/>
              <w:spacing w:line="300" w:lineRule="exact"/>
              <w:rPr>
                <w:rFonts w:ascii="楷体" w:hAnsi="楷体" w:eastAsia="楷体" w:cs="宋体"/>
                <w:szCs w:val="21"/>
              </w:rPr>
            </w:pPr>
            <w:r>
              <w:rPr>
                <w:rFonts w:hint="eastAsia" w:ascii="楷体" w:hAnsi="楷体" w:eastAsia="楷体" w:cs="宋体"/>
                <w:szCs w:val="21"/>
              </w:rPr>
              <w:t>5.3</w:t>
            </w:r>
          </w:p>
          <w:p>
            <w:pPr>
              <w:adjustRightInd w:val="0"/>
              <w:snapToGrid w:val="0"/>
              <w:spacing w:line="300" w:lineRule="exact"/>
              <w:rPr>
                <w:rFonts w:ascii="楷体" w:hAnsi="楷体" w:eastAsia="楷体" w:cs="宋体"/>
                <w:szCs w:val="21"/>
              </w:rPr>
            </w:pPr>
          </w:p>
        </w:tc>
        <w:tc>
          <w:tcPr>
            <w:tcW w:w="12120"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lang w:val="en-US" w:eastAsia="zh-CN"/>
              </w:rPr>
              <w:sym w:font="Wingdings 2" w:char="F098"/>
            </w:r>
            <w:r>
              <w:rPr>
                <w:rFonts w:hint="eastAsia" w:ascii="楷体" w:hAnsi="楷体" w:eastAsia="楷体" w:cs="宋体"/>
                <w:szCs w:val="21"/>
              </w:rPr>
              <w:t>为了有效的实施质量、环境、职业健康安全管理，本公司确定了公司结构：</w:t>
            </w:r>
          </w:p>
          <w:p>
            <w:pPr>
              <w:adjustRightInd w:val="0"/>
              <w:snapToGrid w:val="0"/>
              <w:spacing w:line="300" w:lineRule="exact"/>
              <w:rPr>
                <w:rFonts w:hint="eastAsia" w:ascii="楷体" w:hAnsi="楷体" w:eastAsia="楷体" w:cs="宋体"/>
                <w:szCs w:val="21"/>
              </w:rPr>
            </w:pPr>
            <w:r>
              <w:rPr>
                <w:rFonts w:hint="eastAsia" w:ascii="楷体" w:hAnsi="楷体" w:eastAsia="楷体" w:cs="宋体"/>
                <w:szCs w:val="21"/>
              </w:rPr>
              <w:t>——公司总经理、体系负责人为公司的管理层。</w:t>
            </w:r>
          </w:p>
          <w:p>
            <w:pPr>
              <w:adjustRightInd w:val="0"/>
              <w:snapToGrid w:val="0"/>
              <w:spacing w:line="300" w:lineRule="exact"/>
              <w:rPr>
                <w:rFonts w:hint="eastAsia" w:ascii="楷体" w:hAnsi="楷体" w:eastAsia="楷体" w:cs="宋体"/>
                <w:kern w:val="2"/>
                <w:sz w:val="21"/>
                <w:szCs w:val="21"/>
                <w:lang w:val="en-US" w:eastAsia="zh-CN" w:bidi="ar-SA"/>
              </w:rPr>
            </w:pPr>
            <w:r>
              <w:rPr>
                <w:rFonts w:hint="eastAsia" w:ascii="楷体" w:hAnsi="楷体" w:eastAsia="楷体" w:cs="宋体"/>
                <w:szCs w:val="21"/>
              </w:rPr>
              <w:t>——公司设置管理部门如下：办公室、</w:t>
            </w:r>
            <w:r>
              <w:rPr>
                <w:rFonts w:hint="eastAsia" w:ascii="楷体" w:hAnsi="楷体" w:eastAsia="楷体" w:cs="宋体"/>
                <w:szCs w:val="21"/>
                <w:lang w:eastAsia="zh-CN"/>
              </w:rPr>
              <w:t>采购部、销售部</w:t>
            </w:r>
            <w:r>
              <w:rPr>
                <w:rFonts w:hint="eastAsia" w:ascii="楷体" w:hAnsi="楷体" w:eastAsia="楷体" w:cs="宋体"/>
                <w:szCs w:val="21"/>
              </w:rPr>
              <w:t>。</w:t>
            </w:r>
          </w:p>
          <w:p>
            <w:pPr>
              <w:adjustRightInd w:val="0"/>
              <w:snapToGrid w:val="0"/>
              <w:spacing w:line="300" w:lineRule="exact"/>
              <w:rPr>
                <w:rFonts w:ascii="楷体" w:hAnsi="楷体" w:eastAsia="楷体" w:cs="宋体"/>
                <w:szCs w:val="21"/>
              </w:rPr>
            </w:pPr>
            <w:r>
              <w:rPr>
                <w:rFonts w:hint="eastAsia" w:ascii="楷体" w:hAnsi="楷体" w:eastAsia="楷体" w:cs="宋体"/>
                <w:szCs w:val="21"/>
                <w:lang w:val="en-US" w:eastAsia="zh-CN"/>
              </w:rPr>
              <w:sym w:font="Wingdings 2" w:char="F098"/>
            </w:r>
            <w:r>
              <w:rPr>
                <w:rFonts w:hint="eastAsia" w:ascii="楷体" w:hAnsi="楷体" w:eastAsia="楷体" w:cs="宋体"/>
                <w:szCs w:val="21"/>
                <w:lang w:eastAsia="zh-CN"/>
              </w:rPr>
              <w:t>《管理手册》</w:t>
            </w:r>
            <w:r>
              <w:rPr>
                <w:rFonts w:hint="eastAsia" w:ascii="楷体" w:hAnsi="楷体" w:eastAsia="楷体" w:cs="宋体"/>
                <w:szCs w:val="21"/>
              </w:rPr>
              <w:t>规定了各级各岗位人员职责、权限和相互关系，并在公司内对各级员工进行了必要的传达；</w:t>
            </w:r>
            <w:r>
              <w:rPr>
                <w:rFonts w:hint="eastAsia" w:ascii="楷体" w:hAnsi="楷体" w:eastAsia="楷体" w:cs="宋体"/>
                <w:szCs w:val="21"/>
                <w:lang w:eastAsia="zh-CN"/>
              </w:rPr>
              <w:t>制定了《岗位人员任职要求》，</w:t>
            </w:r>
            <w:r>
              <w:rPr>
                <w:rFonts w:hint="eastAsia" w:ascii="楷体" w:hAnsi="楷体" w:eastAsia="楷体" w:cs="宋体"/>
                <w:szCs w:val="21"/>
              </w:rPr>
              <w:t>规定了各岗位职责及权限，对本公司各主要岗位职责权限进行了确定</w:t>
            </w:r>
            <w:r>
              <w:rPr>
                <w:rFonts w:hint="eastAsia" w:ascii="楷体" w:hAnsi="楷体" w:eastAsia="楷体" w:cs="宋体"/>
                <w:szCs w:val="21"/>
                <w:lang w:eastAsia="zh-CN"/>
              </w:rPr>
              <w:t>，</w:t>
            </w:r>
            <w:r>
              <w:rPr>
                <w:rFonts w:hint="eastAsia" w:ascii="楷体" w:hAnsi="楷体" w:eastAsia="楷体" w:cs="宋体"/>
                <w:szCs w:val="21"/>
              </w:rPr>
              <w:t>以：</w:t>
            </w:r>
          </w:p>
          <w:p>
            <w:pPr>
              <w:adjustRightInd w:val="0"/>
              <w:snapToGrid w:val="0"/>
              <w:spacing w:line="300" w:lineRule="exact"/>
              <w:ind w:firstLine="210" w:firstLineChars="100"/>
              <w:rPr>
                <w:rFonts w:ascii="楷体" w:hAnsi="楷体" w:eastAsia="楷体" w:cs="宋体"/>
                <w:szCs w:val="21"/>
              </w:rPr>
            </w:pPr>
            <w:r>
              <w:rPr>
                <w:rFonts w:hint="eastAsia" w:ascii="楷体" w:hAnsi="楷体" w:eastAsia="楷体" w:cs="宋体"/>
                <w:szCs w:val="21"/>
              </w:rPr>
              <w:t>a) 确保质量、环境、职业健康安全管理体系符合本标准的要求；</w:t>
            </w:r>
          </w:p>
          <w:p>
            <w:pPr>
              <w:adjustRightInd w:val="0"/>
              <w:snapToGrid w:val="0"/>
              <w:spacing w:line="300" w:lineRule="exact"/>
              <w:ind w:firstLine="210" w:firstLineChars="100"/>
              <w:rPr>
                <w:rFonts w:ascii="楷体" w:hAnsi="楷体" w:eastAsia="楷体" w:cs="宋体"/>
                <w:szCs w:val="21"/>
              </w:rPr>
            </w:pPr>
            <w:r>
              <w:rPr>
                <w:rFonts w:hint="eastAsia" w:ascii="楷体" w:hAnsi="楷体" w:eastAsia="楷体" w:cs="宋体"/>
                <w:szCs w:val="21"/>
              </w:rPr>
              <w:t>b) 确保各过程获得其预期输出；</w:t>
            </w:r>
          </w:p>
          <w:p>
            <w:pPr>
              <w:adjustRightInd w:val="0"/>
              <w:snapToGrid w:val="0"/>
              <w:spacing w:line="300" w:lineRule="exact"/>
              <w:ind w:firstLine="210" w:firstLineChars="100"/>
              <w:rPr>
                <w:rFonts w:ascii="楷体" w:hAnsi="楷体" w:eastAsia="楷体" w:cs="宋体"/>
                <w:szCs w:val="21"/>
              </w:rPr>
            </w:pPr>
            <w:r>
              <w:rPr>
                <w:rFonts w:hint="eastAsia" w:ascii="楷体" w:hAnsi="楷体" w:eastAsia="楷体" w:cs="宋体"/>
                <w:szCs w:val="21"/>
              </w:rPr>
              <w:t>c) 报告质量、环境、职业健康安全管理体系绩效及其改进机遇，特别向总经理报告；</w:t>
            </w:r>
          </w:p>
          <w:p>
            <w:pPr>
              <w:adjustRightInd w:val="0"/>
              <w:snapToGrid w:val="0"/>
              <w:spacing w:line="300" w:lineRule="exact"/>
              <w:ind w:firstLine="210" w:firstLineChars="100"/>
              <w:rPr>
                <w:rFonts w:ascii="楷体" w:hAnsi="楷体" w:eastAsia="楷体" w:cs="宋体"/>
                <w:szCs w:val="21"/>
              </w:rPr>
            </w:pPr>
            <w:r>
              <w:rPr>
                <w:rFonts w:hint="eastAsia" w:ascii="楷体" w:hAnsi="楷体" w:eastAsia="楷体" w:cs="宋体"/>
                <w:szCs w:val="21"/>
              </w:rPr>
              <w:t>d) 确保在整个公司推动以顾客为关注焦点；</w:t>
            </w:r>
          </w:p>
          <w:p>
            <w:pPr>
              <w:adjustRightInd w:val="0"/>
              <w:snapToGrid w:val="0"/>
              <w:spacing w:line="300" w:lineRule="exact"/>
              <w:ind w:firstLine="210" w:firstLineChars="100"/>
              <w:rPr>
                <w:rFonts w:ascii="楷体" w:hAnsi="楷体" w:eastAsia="楷体" w:cs="宋体"/>
                <w:szCs w:val="21"/>
              </w:rPr>
            </w:pPr>
            <w:r>
              <w:rPr>
                <w:rFonts w:hint="eastAsia" w:ascii="楷体" w:hAnsi="楷体" w:eastAsia="楷体" w:cs="宋体"/>
                <w:szCs w:val="21"/>
              </w:rPr>
              <w:t>e) 确保在策划和实施质量、环境、职业健康安全管理体系变更时，保持其完整性。</w:t>
            </w:r>
          </w:p>
          <w:p>
            <w:pPr>
              <w:adjustRightInd w:val="0"/>
              <w:snapToGrid w:val="0"/>
              <w:spacing w:line="300" w:lineRule="exact"/>
              <w:ind w:firstLine="210" w:firstLineChars="100"/>
              <w:rPr>
                <w:rFonts w:hint="eastAsia" w:ascii="楷体" w:hAnsi="楷体" w:eastAsia="楷体" w:cs="宋体"/>
                <w:szCs w:val="21"/>
                <w:lang w:eastAsia="zh-CN"/>
              </w:rPr>
            </w:pPr>
            <w:r>
              <w:rPr>
                <w:rFonts w:hint="eastAsia" w:ascii="楷体" w:hAnsi="楷体" w:eastAsia="楷体" w:cs="宋体"/>
                <w:szCs w:val="21"/>
                <w:lang w:eastAsia="zh-CN"/>
              </w:rPr>
              <w:t>组织的角色、职责和权限基本得到有效沟通和贯彻实施。</w:t>
            </w:r>
          </w:p>
          <w:p>
            <w:pPr>
              <w:adjustRightInd w:val="0"/>
              <w:snapToGrid w:val="0"/>
              <w:spacing w:line="300" w:lineRule="exact"/>
              <w:ind w:firstLine="210" w:firstLineChars="100"/>
              <w:rPr>
                <w:rFonts w:ascii="楷体" w:hAnsi="楷体" w:eastAsia="楷体" w:cs="宋体"/>
                <w:szCs w:val="21"/>
              </w:rPr>
            </w:pPr>
            <w:r>
              <w:rPr>
                <w:rFonts w:hint="eastAsia" w:ascii="楷体" w:hAnsi="楷体" w:eastAsia="楷体" w:cs="宋体"/>
                <w:szCs w:val="21"/>
                <w:lang w:val="en-US" w:eastAsia="zh-CN"/>
              </w:rPr>
              <w:sym w:font="Wingdings 2" w:char="F098"/>
            </w:r>
            <w:r>
              <w:rPr>
                <w:rFonts w:hint="eastAsia" w:ascii="楷体" w:hAnsi="楷体" w:eastAsia="楷体" w:cs="宋体"/>
                <w:szCs w:val="21"/>
                <w:lang w:eastAsia="zh-CN"/>
              </w:rPr>
              <w:t>具体</w:t>
            </w:r>
            <w:r>
              <w:rPr>
                <w:rFonts w:hint="eastAsia" w:ascii="楷体" w:hAnsi="楷体" w:eastAsia="楷体" w:cs="宋体"/>
                <w:szCs w:val="21"/>
              </w:rPr>
              <w:t>岗位职责及权限见</w:t>
            </w:r>
            <w:r>
              <w:rPr>
                <w:rFonts w:hint="eastAsia" w:ascii="楷体" w:hAnsi="楷体" w:eastAsia="楷体" w:cs="宋体"/>
                <w:szCs w:val="21"/>
                <w:lang w:eastAsia="zh-CN"/>
              </w:rPr>
              <w:t>各部门审核记录</w:t>
            </w:r>
            <w:r>
              <w:rPr>
                <w:rFonts w:hint="eastAsia" w:ascii="楷体" w:hAnsi="楷体" w:eastAsia="楷体" w:cs="宋体"/>
                <w:szCs w:val="21"/>
              </w:rPr>
              <w:t>。</w:t>
            </w:r>
          </w:p>
        </w:tc>
        <w:tc>
          <w:tcPr>
            <w:tcW w:w="457"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rPr>
              <w:t>应对风险和机遇的措施</w:t>
            </w:r>
          </w:p>
          <w:p>
            <w:pPr>
              <w:adjustRightInd w:val="0"/>
              <w:snapToGrid w:val="0"/>
              <w:spacing w:line="300" w:lineRule="exact"/>
              <w:ind w:firstLine="210" w:firstLineChars="100"/>
              <w:rPr>
                <w:rFonts w:ascii="楷体" w:hAnsi="楷体" w:eastAsia="楷体" w:cs="宋体"/>
                <w:szCs w:val="21"/>
              </w:rPr>
            </w:pPr>
          </w:p>
          <w:p>
            <w:pPr>
              <w:adjustRightInd w:val="0"/>
              <w:snapToGrid w:val="0"/>
              <w:spacing w:line="300" w:lineRule="exact"/>
              <w:ind w:firstLine="210" w:firstLineChars="100"/>
              <w:rPr>
                <w:rFonts w:ascii="楷体" w:hAnsi="楷体" w:eastAsia="楷体" w:cs="宋体"/>
                <w:szCs w:val="21"/>
              </w:rPr>
            </w:pPr>
          </w:p>
        </w:tc>
        <w:tc>
          <w:tcPr>
            <w:tcW w:w="751" w:type="dxa"/>
          </w:tcPr>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QEO</w:t>
            </w:r>
          </w:p>
          <w:p>
            <w:pPr>
              <w:adjustRightInd w:val="0"/>
              <w:snapToGrid w:val="0"/>
              <w:spacing w:line="300" w:lineRule="exact"/>
              <w:rPr>
                <w:rFonts w:ascii="楷体" w:hAnsi="楷体" w:eastAsia="楷体" w:cs="宋体"/>
                <w:szCs w:val="21"/>
              </w:rPr>
            </w:pPr>
            <w:r>
              <w:rPr>
                <w:rFonts w:hint="eastAsia" w:ascii="楷体" w:hAnsi="楷体" w:eastAsia="楷体" w:cs="宋体"/>
                <w:szCs w:val="21"/>
              </w:rPr>
              <w:t>6.1</w:t>
            </w:r>
          </w:p>
          <w:p>
            <w:pPr>
              <w:adjustRightInd w:val="0"/>
              <w:snapToGrid w:val="0"/>
              <w:spacing w:line="300" w:lineRule="exact"/>
              <w:rPr>
                <w:rFonts w:ascii="楷体" w:hAnsi="楷体" w:eastAsia="楷体" w:cs="宋体"/>
                <w:szCs w:val="21"/>
              </w:rPr>
            </w:pPr>
          </w:p>
        </w:tc>
        <w:tc>
          <w:tcPr>
            <w:tcW w:w="12120" w:type="dxa"/>
          </w:tcPr>
          <w:p>
            <w:pPr>
              <w:adjustRightInd w:val="0"/>
              <w:snapToGrid w:val="0"/>
              <w:spacing w:line="300" w:lineRule="exact"/>
              <w:rPr>
                <w:rFonts w:hint="eastAsia" w:ascii="楷体" w:hAnsi="楷体" w:eastAsia="楷体" w:cs="宋体"/>
                <w:szCs w:val="21"/>
                <w:lang w:val="en-US" w:eastAsia="zh-CN"/>
              </w:rPr>
            </w:pPr>
            <w:r>
              <w:rPr>
                <w:rFonts w:hint="eastAsia" w:ascii="楷体" w:hAnsi="楷体" w:eastAsia="楷体" w:cs="宋体"/>
                <w:szCs w:val="21"/>
                <w:lang w:val="en-US" w:eastAsia="zh-CN"/>
              </w:rPr>
              <w:sym w:font="Wingdings 2" w:char="F098"/>
            </w:r>
            <w:r>
              <w:rPr>
                <w:rFonts w:hint="eastAsia" w:ascii="楷体" w:hAnsi="楷体" w:eastAsia="楷体" w:cs="宋体"/>
                <w:szCs w:val="21"/>
                <w:lang w:val="en-US" w:eastAsia="zh-CN"/>
              </w:rPr>
              <w:t>查《管理手册》</w:t>
            </w:r>
            <w:r>
              <w:rPr>
                <w:rFonts w:hint="eastAsia" w:ascii="楷体" w:hAnsi="楷体" w:eastAsia="楷体"/>
                <w:szCs w:val="21"/>
                <w:lang w:eastAsia="zh-CN"/>
              </w:rPr>
              <w:t>对应条款</w:t>
            </w:r>
            <w:r>
              <w:rPr>
                <w:rFonts w:hint="eastAsia" w:ascii="楷体" w:hAnsi="楷体" w:eastAsia="楷体" w:cs="宋体"/>
                <w:szCs w:val="21"/>
                <w:lang w:eastAsia="zh-CN"/>
              </w:rPr>
              <w:t>，</w:t>
            </w:r>
            <w:r>
              <w:rPr>
                <w:rFonts w:hint="eastAsia" w:ascii="楷体" w:hAnsi="楷体" w:eastAsia="楷体" w:cs="宋体"/>
                <w:szCs w:val="21"/>
                <w:lang w:val="en-US" w:eastAsia="zh-CN"/>
              </w:rPr>
              <w:t>及《风险和机遇应对控制程序》，</w:t>
            </w:r>
            <w:r>
              <w:rPr>
                <w:rFonts w:hint="eastAsia" w:ascii="楷体" w:hAnsi="楷体" w:eastAsia="楷体" w:cs="宋体"/>
                <w:szCs w:val="21"/>
                <w:lang w:eastAsia="zh-CN"/>
              </w:rPr>
              <w:t>规定了办公室协助管理者代表组织各部门，通过公司所处环境、相关方的需求及期望、环境因素、危险源、潜在紧急情况、职业健康安全风险和其他风险、职业健康安全机遇和其他机遇、法律法规要求和其他要求、组织变更等确定所需应对的风险和机遇及必要的控制措施的确定。</w:t>
            </w:r>
          </w:p>
          <w:p>
            <w:pPr>
              <w:adjustRightInd w:val="0"/>
              <w:snapToGrid w:val="0"/>
              <w:spacing w:line="300" w:lineRule="exact"/>
              <w:rPr>
                <w:rFonts w:hint="eastAsia" w:ascii="楷体" w:hAnsi="楷体" w:eastAsia="楷体" w:cs="宋体"/>
                <w:szCs w:val="21"/>
                <w:lang w:val="en-US" w:eastAsia="zh-CN"/>
              </w:rPr>
            </w:pPr>
            <w:r>
              <w:rPr>
                <w:rFonts w:hint="eastAsia" w:ascii="楷体" w:hAnsi="楷体" w:eastAsia="楷体" w:cs="宋体"/>
                <w:szCs w:val="21"/>
                <w:lang w:val="en-US" w:eastAsia="zh-CN"/>
              </w:rPr>
              <w:sym w:font="Wingdings 2" w:char="F098"/>
            </w:r>
            <w:r>
              <w:rPr>
                <w:rFonts w:hint="eastAsia" w:ascii="楷体" w:hAnsi="楷体" w:eastAsia="楷体" w:cs="宋体"/>
                <w:szCs w:val="21"/>
                <w:lang w:eastAsia="zh-CN"/>
              </w:rPr>
              <w:t>查企业编制了《风险和机遇的应对措施管理工作流程》，确定了风险识别时机，对风险等级评价后，找出重要风险项目，确定应对</w:t>
            </w:r>
            <w:r>
              <w:rPr>
                <w:rFonts w:hint="eastAsia" w:ascii="楷体" w:hAnsi="楷体" w:eastAsia="楷体" w:cs="宋体"/>
                <w:szCs w:val="21"/>
                <w:lang w:val="en-US" w:eastAsia="zh-CN"/>
              </w:rPr>
              <w:t>的风险和机遇；风险应对措施包括风险规避、风险降低、风险接受等，并制定可行实施方案；对风险措施有效性进行评价，直到目标达成。</w:t>
            </w:r>
          </w:p>
          <w:p>
            <w:pPr>
              <w:adjustRightInd w:val="0"/>
              <w:snapToGrid w:val="0"/>
              <w:spacing w:line="300" w:lineRule="exact"/>
              <w:rPr>
                <w:rFonts w:hint="eastAsia" w:ascii="楷体" w:hAnsi="楷体" w:eastAsia="楷体" w:cs="宋体"/>
                <w:szCs w:val="21"/>
                <w:lang w:val="en-US" w:eastAsia="zh-CN"/>
              </w:rPr>
            </w:pPr>
            <w:r>
              <w:rPr>
                <w:rFonts w:hint="eastAsia" w:ascii="楷体" w:hAnsi="楷体" w:eastAsia="楷体" w:cs="宋体"/>
                <w:szCs w:val="21"/>
                <w:lang w:val="en-US" w:eastAsia="zh-CN"/>
              </w:rPr>
              <w:t>编制了《风险管理计划》，对产品在其整个生命周期内（包括产品实现、最终停用和处置阶段）进行风险管理活动的策划，进行了职责权限的分配，确定了风险管理活动评审的要求，风险控制，及风险管理活动的验证要求。</w:t>
            </w:r>
          </w:p>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提供了《风险和机遇评估分析表》，</w:t>
            </w:r>
          </w:p>
          <w:p>
            <w:pPr>
              <w:jc w:val="left"/>
              <w:rPr>
                <w:rFonts w:hint="eastAsia" w:ascii="楷体" w:hAnsi="楷体" w:eastAsia="楷体" w:cs="宋体"/>
                <w:szCs w:val="21"/>
                <w:lang w:val="en-US" w:eastAsia="zh-CN"/>
              </w:rPr>
            </w:pPr>
            <w:r>
              <w:rPr>
                <w:rFonts w:hint="eastAsia" w:ascii="楷体" w:hAnsi="楷体" w:eastAsia="楷体" w:cs="宋体"/>
                <w:szCs w:val="21"/>
                <w:lang w:eastAsia="zh-CN"/>
              </w:rPr>
              <w:t>企业目前识别风险点</w:t>
            </w:r>
            <w:r>
              <w:rPr>
                <w:rFonts w:hint="eastAsia" w:ascii="楷体" w:hAnsi="楷体" w:eastAsia="楷体" w:cs="宋体"/>
                <w:szCs w:val="21"/>
                <w:lang w:val="en-US" w:eastAsia="zh-CN"/>
              </w:rPr>
              <w:t>主要有：对市场需要服务的发展趋势判断失误；客户要求识别不完整；服务不能按要求完成；投诉率过高；效率太低；各项标识不清楚；人员不足；能力不足；沟通不畅；供应商不配合；采购产品不符合要求；交货不及时；价格成本高等风险。</w:t>
            </w:r>
          </w:p>
          <w:p>
            <w:pPr>
              <w:jc w:val="left"/>
              <w:rPr>
                <w:rFonts w:hint="eastAsia" w:ascii="楷体" w:hAnsi="楷体" w:eastAsia="楷体" w:cs="宋体"/>
                <w:szCs w:val="21"/>
                <w:lang w:val="en-US" w:eastAsia="zh-CN"/>
              </w:rPr>
            </w:pPr>
            <w:r>
              <w:rPr>
                <w:rFonts w:hint="eastAsia" w:ascii="楷体" w:hAnsi="楷体" w:eastAsia="楷体" w:cs="宋体"/>
                <w:szCs w:val="21"/>
                <w:lang w:val="en-US" w:eastAsia="zh-CN"/>
              </w:rPr>
              <w:t>--抽人力资源人员流动方面：（外部因素）</w:t>
            </w:r>
          </w:p>
          <w:p>
            <w:pPr>
              <w:jc w:val="left"/>
              <w:rPr>
                <w:rFonts w:hint="eastAsia" w:ascii="楷体" w:hAnsi="楷体" w:eastAsia="楷体" w:cs="宋体"/>
                <w:szCs w:val="21"/>
                <w:lang w:val="en-US" w:eastAsia="zh-CN"/>
              </w:rPr>
            </w:pPr>
            <w:r>
              <w:rPr>
                <w:rFonts w:hint="eastAsia" w:ascii="楷体" w:hAnsi="楷体" w:eastAsia="楷体" w:cs="宋体"/>
                <w:szCs w:val="21"/>
                <w:lang w:val="en-US" w:eastAsia="zh-CN"/>
              </w:rPr>
              <w:t>风险：公司目前人员特别是优秀人才被外单位吸引离开的情况还是存在，对公司是比较大的损失。员工业务素质在一定程度上存在参差不齐的情况，加上绩效考核不能有效落实，会对工作完成质量造成不好的影响。</w:t>
            </w:r>
          </w:p>
          <w:p>
            <w:pPr>
              <w:jc w:val="left"/>
              <w:rPr>
                <w:rFonts w:hint="eastAsia" w:ascii="楷体" w:hAnsi="楷体" w:eastAsia="楷体" w:cs="宋体"/>
                <w:szCs w:val="21"/>
                <w:lang w:val="en-US" w:eastAsia="zh-CN"/>
              </w:rPr>
            </w:pPr>
            <w:r>
              <w:rPr>
                <w:rFonts w:hint="eastAsia" w:ascii="楷体" w:hAnsi="楷体" w:eastAsia="楷体" w:cs="宋体"/>
                <w:szCs w:val="21"/>
                <w:lang w:val="en-US" w:eastAsia="zh-CN"/>
              </w:rPr>
              <w:t>机遇：公司目前主要人员还算稳定，各项绩效考核能顺利开展，为公司的发展提供一个比较好的基础。</w:t>
            </w:r>
          </w:p>
          <w:p>
            <w:pPr>
              <w:jc w:val="left"/>
              <w:rPr>
                <w:rFonts w:hint="eastAsia" w:ascii="楷体" w:hAnsi="楷体" w:eastAsia="楷体" w:cs="宋体"/>
                <w:szCs w:val="21"/>
                <w:lang w:val="en-US" w:eastAsia="zh-CN"/>
              </w:rPr>
            </w:pPr>
            <w:r>
              <w:rPr>
                <w:rFonts w:hint="eastAsia" w:ascii="楷体" w:hAnsi="楷体" w:eastAsia="楷体" w:cs="宋体"/>
                <w:szCs w:val="21"/>
                <w:lang w:val="en-US" w:eastAsia="zh-CN"/>
              </w:rPr>
              <w:t>应对措施：1.各部门要及时关注员工的心理变化，注意工作方式，创造良好的工作环境，提高员工的归属感</w:t>
            </w:r>
          </w:p>
          <w:p>
            <w:pPr>
              <w:jc w:val="left"/>
              <w:rPr>
                <w:rFonts w:hint="eastAsia" w:ascii="楷体" w:hAnsi="楷体" w:eastAsia="楷体" w:cs="宋体"/>
                <w:szCs w:val="21"/>
                <w:lang w:val="en-US" w:eastAsia="zh-CN"/>
              </w:rPr>
            </w:pPr>
            <w:r>
              <w:rPr>
                <w:rFonts w:hint="eastAsia" w:ascii="楷体" w:hAnsi="楷体" w:eastAsia="楷体" w:cs="宋体"/>
                <w:szCs w:val="21"/>
                <w:lang w:val="en-US" w:eastAsia="zh-CN"/>
              </w:rPr>
              <w:t>2.人资部做好人员的储备，防止人员流失后给公司带来的风险；</w:t>
            </w:r>
          </w:p>
          <w:p>
            <w:pPr>
              <w:jc w:val="left"/>
              <w:rPr>
                <w:rFonts w:hint="eastAsia" w:ascii="楷体" w:hAnsi="楷体" w:eastAsia="楷体" w:cs="宋体"/>
                <w:szCs w:val="21"/>
                <w:lang w:val="en-US" w:eastAsia="zh-CN"/>
              </w:rPr>
            </w:pPr>
            <w:r>
              <w:rPr>
                <w:rFonts w:hint="eastAsia" w:ascii="楷体" w:hAnsi="楷体" w:eastAsia="楷体" w:cs="宋体"/>
                <w:szCs w:val="21"/>
                <w:lang w:val="en-US" w:eastAsia="zh-CN"/>
              </w:rPr>
              <w:t>3.各职能部门加强绩效考核的有效开展，通过考核促进员工的工作积极性，提高业务素质。</w:t>
            </w:r>
          </w:p>
          <w:p>
            <w:pPr>
              <w:pStyle w:val="6"/>
              <w:rPr>
                <w:rFonts w:ascii="楷体" w:hAnsi="楷体" w:eastAsia="楷体" w:cs="宋体"/>
                <w:bCs w:val="0"/>
                <w:szCs w:val="21"/>
              </w:rPr>
            </w:pPr>
            <w:r>
              <w:rPr>
                <w:rFonts w:hint="eastAsia" w:ascii="楷体" w:hAnsi="楷体" w:eastAsia="楷体" w:cs="宋体"/>
                <w:kern w:val="2"/>
                <w:sz w:val="21"/>
                <w:szCs w:val="21"/>
                <w:lang w:val="en-US" w:eastAsia="zh-CN" w:bidi="ar-SA"/>
              </w:rPr>
              <w:t>另查其他风险和机遇的识别基本全面，控制措施有效。</w:t>
            </w:r>
          </w:p>
        </w:tc>
        <w:tc>
          <w:tcPr>
            <w:tcW w:w="457"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381"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rPr>
              <w:t>目标及其实现的策划</w:t>
            </w:r>
          </w:p>
        </w:tc>
        <w:tc>
          <w:tcPr>
            <w:tcW w:w="751" w:type="dxa"/>
          </w:tcPr>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QEO</w:t>
            </w:r>
          </w:p>
          <w:p>
            <w:pPr>
              <w:adjustRightInd w:val="0"/>
              <w:snapToGrid w:val="0"/>
              <w:spacing w:line="300" w:lineRule="exact"/>
              <w:rPr>
                <w:rFonts w:ascii="楷体" w:hAnsi="楷体" w:eastAsia="楷体" w:cs="宋体"/>
                <w:szCs w:val="21"/>
              </w:rPr>
            </w:pPr>
            <w:r>
              <w:rPr>
                <w:rFonts w:hint="eastAsia" w:ascii="楷体" w:hAnsi="楷体" w:eastAsia="楷体" w:cs="宋体"/>
                <w:szCs w:val="21"/>
              </w:rPr>
              <w:t xml:space="preserve">6.2 </w:t>
            </w:r>
          </w:p>
          <w:p>
            <w:pPr>
              <w:adjustRightInd w:val="0"/>
              <w:snapToGrid w:val="0"/>
              <w:spacing w:line="300" w:lineRule="exact"/>
              <w:rPr>
                <w:rFonts w:ascii="楷体" w:hAnsi="楷体" w:eastAsia="楷体" w:cs="宋体"/>
                <w:szCs w:val="21"/>
              </w:rPr>
            </w:pPr>
          </w:p>
        </w:tc>
        <w:tc>
          <w:tcPr>
            <w:tcW w:w="12120" w:type="dxa"/>
          </w:tcPr>
          <w:p>
            <w:pPr>
              <w:pStyle w:val="8"/>
              <w:snapToGrid w:val="0"/>
              <w:rPr>
                <w:rFonts w:hint="eastAsia" w:ascii="楷体" w:hAnsi="楷体" w:eastAsia="楷体" w:cs="宋体"/>
                <w:szCs w:val="21"/>
                <w:lang w:val="zh-CN"/>
              </w:rPr>
            </w:pPr>
            <w:r>
              <w:rPr>
                <w:rFonts w:hint="eastAsia" w:ascii="楷体" w:hAnsi="楷体" w:eastAsia="楷体" w:cs="宋体"/>
                <w:szCs w:val="21"/>
                <w:lang w:val="zh-CN"/>
              </w:rPr>
              <w:t>查看</w:t>
            </w:r>
            <w:r>
              <w:rPr>
                <w:rFonts w:hint="eastAsia" w:ascii="楷体" w:hAnsi="楷体" w:eastAsia="楷体" w:cs="宋体"/>
                <w:szCs w:val="21"/>
                <w:lang w:eastAsia="zh-CN"/>
              </w:rPr>
              <w:t>《</w:t>
            </w:r>
            <w:r>
              <w:rPr>
                <w:rFonts w:hint="eastAsia" w:ascii="楷体" w:hAnsi="楷体" w:eastAsia="楷体" w:cs="宋体"/>
                <w:szCs w:val="21"/>
              </w:rPr>
              <w:t>管理手册</w:t>
            </w:r>
            <w:r>
              <w:rPr>
                <w:rFonts w:hint="eastAsia" w:ascii="楷体" w:hAnsi="楷体" w:eastAsia="楷体" w:cs="宋体"/>
                <w:szCs w:val="21"/>
                <w:lang w:eastAsia="zh-CN"/>
              </w:rPr>
              <w:t>》</w:t>
            </w:r>
            <w:r>
              <w:rPr>
                <w:rFonts w:hint="eastAsia" w:ascii="楷体" w:hAnsi="楷体" w:eastAsia="楷体" w:cs="宋体"/>
                <w:color w:val="000000"/>
                <w:kern w:val="0"/>
                <w:szCs w:val="21"/>
                <w:lang w:eastAsia="zh-CN"/>
              </w:rPr>
              <w:t>，</w:t>
            </w:r>
            <w:r>
              <w:rPr>
                <w:rFonts w:hint="eastAsia" w:ascii="楷体" w:hAnsi="楷体" w:eastAsia="楷体" w:cs="宋体"/>
                <w:szCs w:val="21"/>
                <w:lang w:val="zh-CN"/>
              </w:rPr>
              <w:t>公司管理层以公司的质量/环境/职业健康安全方针为框架，结合公司的实际运营情况，制定公司总的管理目标：</w:t>
            </w:r>
          </w:p>
          <w:p>
            <w:pPr>
              <w:rPr>
                <w:rFonts w:hint="eastAsia" w:ascii="楷体" w:hAnsi="楷体" w:eastAsia="楷体" w:cs="宋体"/>
                <w:szCs w:val="21"/>
                <w:lang w:eastAsia="zh-CN"/>
              </w:rPr>
            </w:pPr>
            <w:r>
              <w:rPr>
                <w:rFonts w:hint="eastAsia" w:ascii="楷体" w:hAnsi="楷体" w:eastAsia="楷体" w:cs="宋体"/>
                <w:szCs w:val="21"/>
                <w:lang w:eastAsia="zh-CN"/>
              </w:rPr>
              <w:t>质量目标：1、合同履约率100%；2、顾客满意率≥95%</w:t>
            </w:r>
          </w:p>
          <w:p>
            <w:pPr>
              <w:rPr>
                <w:rFonts w:hint="eastAsia" w:ascii="楷体" w:hAnsi="楷体" w:eastAsia="楷体" w:cs="宋体"/>
                <w:szCs w:val="21"/>
                <w:lang w:eastAsia="zh-CN"/>
              </w:rPr>
            </w:pPr>
            <w:r>
              <w:rPr>
                <w:rFonts w:hint="eastAsia" w:ascii="楷体" w:hAnsi="楷体" w:eastAsia="楷体" w:cs="宋体"/>
                <w:szCs w:val="21"/>
                <w:lang w:eastAsia="zh-CN"/>
              </w:rPr>
              <w:t>环境目标、指标：1、固体废弃物统一处理率达100%；</w:t>
            </w:r>
          </w:p>
          <w:p>
            <w:pPr>
              <w:rPr>
                <w:rFonts w:hint="eastAsia" w:ascii="楷体" w:hAnsi="楷体" w:eastAsia="楷体" w:cs="宋体"/>
                <w:szCs w:val="21"/>
                <w:lang w:eastAsia="zh-CN"/>
              </w:rPr>
            </w:pPr>
            <w:r>
              <w:rPr>
                <w:rFonts w:hint="eastAsia" w:ascii="楷体" w:hAnsi="楷体" w:eastAsia="楷体" w:cs="宋体"/>
                <w:szCs w:val="21"/>
                <w:lang w:eastAsia="zh-CN"/>
              </w:rPr>
              <w:t>职业健康安全目标、指标1、重大工伤事故为0；2、火灾事故为0。</w:t>
            </w:r>
          </w:p>
          <w:p>
            <w:pPr>
              <w:rPr>
                <w:rFonts w:hint="eastAsia" w:ascii="楷体" w:hAnsi="楷体" w:eastAsia="楷体" w:cs="宋体"/>
                <w:szCs w:val="21"/>
                <w:lang w:eastAsia="zh-CN"/>
              </w:rPr>
            </w:pPr>
            <w:r>
              <w:rPr>
                <w:rFonts w:hint="eastAsia" w:ascii="楷体" w:hAnsi="楷体" w:eastAsia="楷体" w:cs="宋体"/>
                <w:szCs w:val="21"/>
                <w:lang w:eastAsia="zh-CN"/>
              </w:rPr>
              <w:t>为确保目标的实现，对管理目标进行了分解，并规定了考核办法</w:t>
            </w:r>
            <w:r>
              <w:rPr>
                <w:rFonts w:hint="eastAsia" w:ascii="楷体" w:hAnsi="楷体" w:eastAsia="楷体" w:cs="宋体"/>
                <w:szCs w:val="21"/>
              </w:rPr>
              <w:t>。</w:t>
            </w:r>
            <w:r>
              <w:rPr>
                <w:rFonts w:hint="eastAsia" w:ascii="楷体" w:hAnsi="楷体" w:eastAsia="楷体" w:cs="宋体"/>
                <w:szCs w:val="21"/>
                <w:lang w:eastAsia="zh-CN"/>
              </w:rPr>
              <w:t>由办公室组织有关人员对各部门质量目标实现情况进行测评，结果报总经理。应在每次管理评审前由办公室对目标的完成情况进行监视、测量并输入管理评审。</w:t>
            </w:r>
          </w:p>
          <w:p>
            <w:pPr>
              <w:ind w:firstLine="420" w:firstLineChars="200"/>
              <w:rPr>
                <w:rFonts w:hint="eastAsia" w:ascii="楷体" w:hAnsi="楷体" w:eastAsia="楷体" w:cs="宋体"/>
                <w:szCs w:val="21"/>
                <w:lang w:eastAsia="zh-CN"/>
              </w:rPr>
            </w:pPr>
            <w:r>
              <w:rPr>
                <w:rFonts w:hint="eastAsia" w:ascii="楷体" w:hAnsi="楷体" w:eastAsia="楷体" w:cs="宋体"/>
                <w:szCs w:val="21"/>
                <w:lang w:eastAsia="zh-CN"/>
              </w:rPr>
              <w:t>为确保环境目标指标和安全目标指标的实现，制定环境安全目标指标管理方案。</w:t>
            </w:r>
          </w:p>
          <w:p>
            <w:pPr>
              <w:ind w:firstLine="420" w:firstLineChars="200"/>
              <w:rPr>
                <w:rFonts w:hint="eastAsia" w:ascii="楷体" w:hAnsi="楷体" w:eastAsia="楷体" w:cs="宋体"/>
                <w:szCs w:val="21"/>
                <w:lang w:eastAsia="zh-CN"/>
              </w:rPr>
            </w:pPr>
            <w:r>
              <w:rPr>
                <w:rFonts w:hint="eastAsia" w:ascii="楷体" w:hAnsi="楷体" w:eastAsia="楷体" w:cs="宋体"/>
                <w:szCs w:val="21"/>
                <w:lang w:eastAsia="zh-CN"/>
              </w:rPr>
              <w:t>具体目标指标考核情况见各部门详细审核记录。</w:t>
            </w:r>
          </w:p>
        </w:tc>
        <w:tc>
          <w:tcPr>
            <w:tcW w:w="457"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381"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rPr>
              <w:t>变更的策划</w:t>
            </w:r>
          </w:p>
        </w:tc>
        <w:tc>
          <w:tcPr>
            <w:tcW w:w="751"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lang w:eastAsia="zh-CN"/>
              </w:rPr>
              <w:t>Q</w:t>
            </w:r>
            <w:r>
              <w:rPr>
                <w:rFonts w:hint="eastAsia" w:ascii="楷体" w:hAnsi="楷体" w:eastAsia="楷体" w:cs="宋体"/>
                <w:szCs w:val="21"/>
              </w:rPr>
              <w:t>6.3</w:t>
            </w:r>
          </w:p>
          <w:p>
            <w:pPr>
              <w:adjustRightInd w:val="0"/>
              <w:snapToGrid w:val="0"/>
              <w:spacing w:line="300" w:lineRule="exact"/>
              <w:rPr>
                <w:rFonts w:ascii="楷体" w:hAnsi="楷体" w:eastAsia="楷体" w:cs="宋体"/>
                <w:szCs w:val="21"/>
              </w:rPr>
            </w:pPr>
          </w:p>
        </w:tc>
        <w:tc>
          <w:tcPr>
            <w:tcW w:w="12120" w:type="dxa"/>
          </w:tcPr>
          <w:p>
            <w:pPr>
              <w:adjustRightInd w:val="0"/>
              <w:snapToGrid w:val="0"/>
              <w:spacing w:line="300" w:lineRule="exact"/>
              <w:rPr>
                <w:rFonts w:hint="eastAsia" w:ascii="楷体" w:hAnsi="楷体" w:eastAsia="楷体" w:cs="宋体"/>
                <w:szCs w:val="21"/>
              </w:rPr>
            </w:pPr>
            <w:r>
              <w:rPr>
                <w:rFonts w:hint="eastAsia" w:ascii="楷体" w:hAnsi="楷体" w:eastAsia="楷体" w:cs="宋体"/>
                <w:szCs w:val="21"/>
                <w:lang w:val="en-US" w:eastAsia="zh-CN"/>
              </w:rPr>
              <w:sym w:font="Wingdings 2" w:char="F098"/>
            </w:r>
            <w:r>
              <w:rPr>
                <w:rFonts w:hint="eastAsia" w:ascii="楷体" w:hAnsi="楷体" w:eastAsia="楷体" w:cs="宋体"/>
                <w:szCs w:val="21"/>
                <w:lang w:val="en-US" w:eastAsia="zh-CN"/>
              </w:rPr>
              <w:t>管理层介绍，由于经营战略级市场环境的改变，企业管理层经研究决定，由生产企业变更为销售企业，组织架构进行了调整，同时变更了管理体系范围，</w:t>
            </w:r>
            <w:r>
              <w:rPr>
                <w:rFonts w:hint="eastAsia" w:ascii="楷体" w:hAnsi="楷体" w:eastAsia="楷体" w:cs="宋体"/>
                <w:szCs w:val="21"/>
              </w:rPr>
              <w:t>于202</w:t>
            </w:r>
            <w:r>
              <w:rPr>
                <w:rFonts w:hint="eastAsia" w:ascii="楷体" w:hAnsi="楷体" w:eastAsia="楷体" w:cs="宋体"/>
                <w:szCs w:val="21"/>
                <w:lang w:val="en-US" w:eastAsia="zh-CN"/>
              </w:rPr>
              <w:t>2</w:t>
            </w:r>
            <w:r>
              <w:rPr>
                <w:rFonts w:hint="eastAsia" w:ascii="楷体" w:hAnsi="楷体" w:eastAsia="楷体" w:cs="宋体"/>
                <w:szCs w:val="21"/>
              </w:rPr>
              <w:t>年</w:t>
            </w:r>
            <w:r>
              <w:rPr>
                <w:rFonts w:hint="eastAsia" w:ascii="楷体" w:hAnsi="楷体" w:eastAsia="楷体" w:cs="宋体"/>
                <w:szCs w:val="21"/>
                <w:lang w:val="en-US" w:eastAsia="zh-CN"/>
              </w:rPr>
              <w:t>1</w:t>
            </w:r>
            <w:r>
              <w:rPr>
                <w:rFonts w:hint="eastAsia" w:ascii="楷体" w:hAnsi="楷体" w:eastAsia="楷体" w:cs="宋体"/>
                <w:szCs w:val="21"/>
              </w:rPr>
              <w:t>月</w:t>
            </w:r>
            <w:r>
              <w:rPr>
                <w:rFonts w:hint="eastAsia" w:ascii="楷体" w:hAnsi="楷体" w:eastAsia="楷体" w:cs="宋体"/>
                <w:szCs w:val="21"/>
                <w:lang w:val="en-US" w:eastAsia="zh-CN"/>
              </w:rPr>
              <w:t>修订并重新发布实施了</w:t>
            </w:r>
            <w:r>
              <w:rPr>
                <w:rFonts w:hint="eastAsia" w:ascii="楷体" w:hAnsi="楷体" w:eastAsia="楷体" w:cs="宋体"/>
                <w:szCs w:val="21"/>
              </w:rPr>
              <w:t>质量/环境/职业健康安全管理体系，为使公司质量、环境和职业健康安全管理体系有效运行，并持续改进，各部门按质量、环境和职业健康安全管理体系文件中的规定贯彻实施，文件中的规定与实际运作应保持一致。</w:t>
            </w:r>
          </w:p>
          <w:p>
            <w:pPr>
              <w:adjustRightInd w:val="0"/>
              <w:snapToGrid w:val="0"/>
              <w:spacing w:line="300" w:lineRule="exact"/>
              <w:rPr>
                <w:rFonts w:hint="eastAsia" w:ascii="楷体" w:hAnsi="楷体" w:eastAsia="楷体" w:cs="宋体"/>
                <w:szCs w:val="21"/>
              </w:rPr>
            </w:pPr>
            <w:r>
              <w:rPr>
                <w:rFonts w:hint="eastAsia" w:ascii="楷体" w:hAnsi="楷体" w:eastAsia="楷体" w:cs="宋体"/>
                <w:szCs w:val="21"/>
                <w:lang w:val="en-US" w:eastAsia="zh-CN"/>
              </w:rPr>
              <w:sym w:font="Wingdings 2" w:char="F098"/>
            </w:r>
            <w:r>
              <w:rPr>
                <w:rFonts w:hint="eastAsia" w:ascii="楷体" w:hAnsi="楷体" w:eastAsia="楷体" w:cs="宋体"/>
                <w:szCs w:val="21"/>
                <w:lang w:val="en-US" w:eastAsia="zh-CN"/>
              </w:rPr>
              <w:t>企业通过过程业绩分析，监视、测量、分析、评价、管理评审，内部审核结果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adjustRightInd w:val="0"/>
              <w:snapToGrid w:val="0"/>
              <w:spacing w:line="300" w:lineRule="exact"/>
              <w:rPr>
                <w:rFonts w:ascii="楷体" w:hAnsi="楷体" w:eastAsia="楷体" w:cs="宋体"/>
                <w:szCs w:val="21"/>
                <w:lang w:val="zh-CN"/>
              </w:rPr>
            </w:pPr>
            <w:r>
              <w:rPr>
                <w:rFonts w:hint="eastAsia" w:ascii="楷体" w:hAnsi="楷体" w:eastAsia="楷体" w:cs="宋体"/>
                <w:szCs w:val="21"/>
                <w:lang w:val="en-US" w:eastAsia="zh-CN"/>
              </w:rPr>
              <w:sym w:font="Wingdings 2" w:char="F098"/>
            </w:r>
            <w:r>
              <w:rPr>
                <w:rFonts w:hint="eastAsia" w:ascii="楷体" w:hAnsi="楷体" w:eastAsia="楷体" w:cs="宋体"/>
                <w:szCs w:val="21"/>
              </w:rPr>
              <w:t>随着质量、环境和职业健康安全管理体系的变化，质量和环境、职业健康安全方针、目标的变化，定期评审及时修订质量环境和职业健康安全管理体系文件，确保其有效性、充分性和适宜性。质量、环境和职业健康安全管理体系建立后，不断完善，持续改进，提高有效性和效率。</w:t>
            </w:r>
          </w:p>
        </w:tc>
        <w:tc>
          <w:tcPr>
            <w:tcW w:w="457"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381"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rPr>
              <w:t>资源</w:t>
            </w:r>
          </w:p>
        </w:tc>
        <w:tc>
          <w:tcPr>
            <w:tcW w:w="751" w:type="dxa"/>
          </w:tcPr>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QEO</w:t>
            </w:r>
          </w:p>
          <w:p>
            <w:pPr>
              <w:adjustRightInd w:val="0"/>
              <w:snapToGrid w:val="0"/>
              <w:spacing w:line="300" w:lineRule="exact"/>
              <w:rPr>
                <w:rFonts w:ascii="楷体" w:hAnsi="楷体" w:eastAsia="楷体" w:cs="宋体"/>
                <w:szCs w:val="21"/>
              </w:rPr>
            </w:pPr>
            <w:r>
              <w:rPr>
                <w:rFonts w:hint="eastAsia" w:ascii="楷体" w:hAnsi="楷体" w:eastAsia="楷体" w:cs="宋体"/>
                <w:szCs w:val="21"/>
              </w:rPr>
              <w:t>7.1</w:t>
            </w:r>
          </w:p>
        </w:tc>
        <w:tc>
          <w:tcPr>
            <w:tcW w:w="12120" w:type="dxa"/>
          </w:tcPr>
          <w:p>
            <w:pPr>
              <w:adjustRightInd w:val="0"/>
              <w:snapToGrid w:val="0"/>
              <w:spacing w:line="300" w:lineRule="exact"/>
              <w:rPr>
                <w:rFonts w:hint="eastAsia" w:ascii="楷体" w:hAnsi="楷体" w:eastAsia="楷体" w:cs="宋体"/>
                <w:szCs w:val="21"/>
                <w:lang w:val="en-US" w:eastAsia="zh-CN"/>
              </w:rPr>
            </w:pPr>
            <w:r>
              <w:rPr>
                <w:rFonts w:hint="eastAsia" w:ascii="楷体" w:hAnsi="楷体" w:eastAsia="楷体" w:cs="宋体"/>
                <w:szCs w:val="21"/>
                <w:lang w:val="en-US" w:eastAsia="zh-CN"/>
              </w:rPr>
              <w:sym w:font="Wingdings 2" w:char="F098"/>
            </w:r>
            <w:r>
              <w:rPr>
                <w:rFonts w:hint="eastAsia" w:ascii="楷体" w:hAnsi="楷体" w:eastAsia="楷体" w:cs="宋体"/>
                <w:szCs w:val="21"/>
                <w:lang w:val="en-US" w:eastAsia="zh-CN"/>
              </w:rPr>
              <w:t>公司确定并提供为建立、实施、保持和持续改进质量、环境、职业健康安全管理体系所需的资源。</w:t>
            </w:r>
          </w:p>
          <w:p>
            <w:pPr>
              <w:adjustRightInd w:val="0"/>
              <w:snapToGrid w:val="0"/>
              <w:spacing w:line="300" w:lineRule="exact"/>
              <w:rPr>
                <w:rFonts w:hint="eastAsia" w:ascii="楷体" w:hAnsi="楷体" w:eastAsia="楷体" w:cs="宋体"/>
                <w:szCs w:val="21"/>
                <w:lang w:val="en-US" w:eastAsia="zh-CN"/>
              </w:rPr>
            </w:pPr>
            <w:r>
              <w:rPr>
                <w:rFonts w:hint="eastAsia" w:ascii="楷体" w:hAnsi="楷体" w:eastAsia="楷体" w:cs="宋体"/>
                <w:szCs w:val="21"/>
                <w:lang w:val="en-US" w:eastAsia="zh-CN"/>
              </w:rPr>
              <w:t>1）人力资源：目前职工人数20人。有本公司的销售网络和固定的客户群。</w:t>
            </w:r>
          </w:p>
          <w:p>
            <w:pPr>
              <w:adjustRightInd w:val="0"/>
              <w:snapToGrid w:val="0"/>
              <w:spacing w:line="300" w:lineRule="exact"/>
              <w:rPr>
                <w:rFonts w:hint="eastAsia" w:ascii="楷体" w:hAnsi="楷体" w:eastAsia="楷体" w:cs="宋体"/>
                <w:szCs w:val="21"/>
                <w:lang w:val="en-US" w:eastAsia="zh-CN"/>
              </w:rPr>
            </w:pPr>
            <w:r>
              <w:rPr>
                <w:rFonts w:hint="eastAsia" w:ascii="楷体" w:hAnsi="楷体" w:eastAsia="楷体" w:cs="宋体"/>
                <w:szCs w:val="21"/>
                <w:lang w:val="en-US" w:eastAsia="zh-CN"/>
              </w:rPr>
              <w:t>2）基础设施：现场巡视，办公场地为河北省石家庄市藁城区兴安镇武家庄村西南50米处，办公楼两层，配备了会议室，展厅，办公室，经理室，会客室，库房，总面积约570平，整体环境良好，干净整洁。</w:t>
            </w:r>
          </w:p>
          <w:p>
            <w:pPr>
              <w:adjustRightInd w:val="0"/>
              <w:snapToGrid w:val="0"/>
              <w:spacing w:line="300" w:lineRule="exact"/>
              <w:ind w:firstLine="420" w:firstLineChars="200"/>
              <w:rPr>
                <w:rFonts w:hint="eastAsia" w:ascii="楷体" w:hAnsi="楷体" w:eastAsia="楷体" w:cs="宋体"/>
                <w:szCs w:val="21"/>
                <w:lang w:val="en-US" w:eastAsia="zh-CN"/>
              </w:rPr>
            </w:pPr>
            <w:r>
              <w:rPr>
                <w:rFonts w:hint="eastAsia" w:ascii="楷体" w:hAnsi="楷体" w:eastAsia="楷体" w:cs="宋体"/>
                <w:szCs w:val="21"/>
                <w:lang w:val="en-US" w:eastAsia="zh-CN"/>
              </w:rPr>
              <w:t>查见《基础设施设备台账》，并现场查看办公设施主要是电脑、打印机、开票机、电话等，满足工作需要。</w:t>
            </w:r>
          </w:p>
          <w:p>
            <w:pPr>
              <w:adjustRightInd w:val="0"/>
              <w:snapToGrid w:val="0"/>
              <w:spacing w:line="300" w:lineRule="exact"/>
              <w:ind w:firstLine="420" w:firstLineChars="200"/>
              <w:rPr>
                <w:rFonts w:hint="eastAsia" w:ascii="楷体" w:hAnsi="楷体" w:eastAsia="楷体" w:cs="宋体"/>
                <w:szCs w:val="21"/>
                <w:lang w:val="en-US" w:eastAsia="zh-CN"/>
              </w:rPr>
            </w:pPr>
            <w:r>
              <w:rPr>
                <w:rFonts w:hint="eastAsia" w:ascii="楷体" w:hAnsi="楷体" w:eastAsia="楷体" w:cs="宋体"/>
                <w:szCs w:val="21"/>
                <w:lang w:val="en-US" w:eastAsia="zh-CN"/>
              </w:rPr>
              <w:t>电脑和打印机由办公室负责定期维护。提供了《设备维修保养计划》，主要是对电脑定期进行系统升级、垃圾清理、杀毒，打印机加墨更换硒鼓。</w:t>
            </w:r>
          </w:p>
          <w:p>
            <w:pPr>
              <w:adjustRightInd w:val="0"/>
              <w:snapToGrid w:val="0"/>
              <w:spacing w:line="300" w:lineRule="exact"/>
              <w:rPr>
                <w:rFonts w:hint="eastAsia" w:ascii="楷体" w:hAnsi="楷体" w:eastAsia="楷体" w:cs="宋体"/>
                <w:szCs w:val="21"/>
                <w:lang w:val="en-US" w:eastAsia="zh-CN"/>
              </w:rPr>
            </w:pPr>
            <w:r>
              <w:rPr>
                <w:rFonts w:hint="eastAsia" w:ascii="楷体" w:hAnsi="楷体" w:eastAsia="楷体" w:cs="宋体"/>
                <w:szCs w:val="21"/>
                <w:lang w:val="en-US" w:eastAsia="zh-CN"/>
              </w:rPr>
              <w:t>3）水电供应由办公室负责，各部门按《节水节电管理办法》的规定使用水、电等能源资源。</w:t>
            </w:r>
          </w:p>
          <w:p>
            <w:pPr>
              <w:adjustRightInd w:val="0"/>
              <w:snapToGrid w:val="0"/>
              <w:spacing w:line="300" w:lineRule="exact"/>
              <w:rPr>
                <w:rFonts w:hint="eastAsia" w:ascii="楷体" w:hAnsi="楷体" w:eastAsia="楷体" w:cs="宋体"/>
                <w:szCs w:val="21"/>
                <w:lang w:val="en-US" w:eastAsia="zh-CN"/>
              </w:rPr>
            </w:pPr>
            <w:r>
              <w:rPr>
                <w:rFonts w:hint="eastAsia" w:ascii="楷体" w:hAnsi="楷体" w:eastAsia="楷体" w:cs="宋体"/>
                <w:szCs w:val="21"/>
                <w:lang w:val="en-US" w:eastAsia="zh-CN"/>
              </w:rPr>
              <w:t>各部门负责保持各自办公室的环境卫生。各种废弃物的处理按《废弃物管理办法》执行，各种垃圾分类处置，办公室负责监督检查。每个员工都有责任创造和谐、舒适的工作环境。</w:t>
            </w:r>
          </w:p>
          <w:p>
            <w:pPr>
              <w:adjustRightInd w:val="0"/>
              <w:snapToGrid w:val="0"/>
              <w:spacing w:line="300" w:lineRule="exact"/>
              <w:rPr>
                <w:rFonts w:hint="eastAsia" w:ascii="楷体" w:hAnsi="楷体" w:eastAsia="楷体" w:cs="宋体"/>
                <w:szCs w:val="21"/>
              </w:rPr>
            </w:pPr>
            <w:r>
              <w:rPr>
                <w:rFonts w:hint="eastAsia" w:ascii="楷体" w:hAnsi="楷体" w:eastAsia="楷体" w:cs="宋体"/>
                <w:szCs w:val="21"/>
                <w:lang w:val="en-US" w:eastAsia="zh-CN"/>
              </w:rPr>
              <w:sym w:font="Wingdings 2" w:char="F098"/>
            </w:r>
            <w:r>
              <w:rPr>
                <w:rFonts w:hint="eastAsia" w:ascii="楷体" w:hAnsi="楷体" w:eastAsia="楷体" w:cs="宋体"/>
                <w:szCs w:val="21"/>
                <w:lang w:val="en-US" w:eastAsia="zh-CN"/>
              </w:rPr>
              <w:t>此外，创造无歧视、和谐稳定、无对抗的工作氛围，采取措施舒缓心理压力、预防过度疲劳、保护个人情感也是过程运行环境管理的重要组成部分。</w:t>
            </w:r>
          </w:p>
        </w:tc>
        <w:tc>
          <w:tcPr>
            <w:tcW w:w="457"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81"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rPr>
              <w:t>监视、测量、分析和评价</w:t>
            </w:r>
          </w:p>
        </w:tc>
        <w:tc>
          <w:tcPr>
            <w:tcW w:w="751" w:type="dxa"/>
          </w:tcPr>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QEO</w:t>
            </w:r>
          </w:p>
          <w:p>
            <w:pPr>
              <w:adjustRightInd w:val="0"/>
              <w:snapToGrid w:val="0"/>
              <w:spacing w:line="300" w:lineRule="exact"/>
              <w:rPr>
                <w:rFonts w:ascii="楷体" w:hAnsi="楷体" w:eastAsia="楷体" w:cs="宋体"/>
                <w:szCs w:val="21"/>
              </w:rPr>
            </w:pPr>
            <w:r>
              <w:rPr>
                <w:rFonts w:hint="eastAsia" w:ascii="楷体" w:hAnsi="楷体" w:eastAsia="楷体" w:cs="宋体"/>
                <w:szCs w:val="21"/>
              </w:rPr>
              <w:t>9.1.1</w:t>
            </w:r>
          </w:p>
        </w:tc>
        <w:tc>
          <w:tcPr>
            <w:tcW w:w="12120" w:type="dxa"/>
          </w:tcPr>
          <w:p>
            <w:pPr>
              <w:numPr>
                <w:ilvl w:val="0"/>
                <w:numId w:val="0"/>
              </w:numPr>
              <w:adjustRightInd w:val="0"/>
              <w:snapToGrid w:val="0"/>
              <w:spacing w:line="300" w:lineRule="exact"/>
              <w:rPr>
                <w:rFonts w:hint="eastAsia" w:ascii="Times New Roman" w:hAnsi="Times New Roman" w:cs="Times New Roman"/>
                <w:sz w:val="24"/>
                <w:szCs w:val="24"/>
                <w:lang w:val="en-US" w:eastAsia="zh-CN"/>
              </w:rPr>
            </w:pPr>
            <w:r>
              <w:rPr>
                <w:rFonts w:hint="eastAsia" w:ascii="楷体" w:hAnsi="楷体" w:eastAsia="楷体" w:cs="宋体"/>
                <w:szCs w:val="21"/>
                <w:lang w:val="en-US" w:eastAsia="zh-CN"/>
              </w:rPr>
              <w:sym w:font="Wingdings 2" w:char="F098"/>
            </w:r>
            <w:r>
              <w:rPr>
                <w:rFonts w:hint="eastAsia" w:ascii="楷体" w:hAnsi="楷体" w:eastAsia="楷体" w:cs="宋体"/>
                <w:szCs w:val="21"/>
                <w:lang w:val="en-US" w:eastAsia="zh-CN"/>
              </w:rPr>
              <w:t>公司主要通过质量目标考核、内审、管理评审等对体系的有效性进行评价。</w:t>
            </w:r>
          </w:p>
          <w:p>
            <w:pPr>
              <w:numPr>
                <w:ilvl w:val="0"/>
                <w:numId w:val="0"/>
              </w:numPr>
              <w:adjustRightInd w:val="0"/>
              <w:snapToGrid w:val="0"/>
              <w:spacing w:line="300" w:lineRule="exact"/>
              <w:rPr>
                <w:rFonts w:ascii="楷体" w:hAnsi="楷体" w:eastAsia="楷体"/>
                <w:bCs w:val="0"/>
                <w:szCs w:val="21"/>
              </w:rPr>
            </w:pPr>
            <w:r>
              <w:rPr>
                <w:rFonts w:hint="eastAsia" w:ascii="楷体" w:hAnsi="楷体" w:eastAsia="楷体" w:cs="宋体"/>
                <w:bCs w:val="0"/>
                <w:szCs w:val="21"/>
              </w:rPr>
              <w:t>目前开展的工作：</w:t>
            </w:r>
          </w:p>
          <w:p>
            <w:pPr>
              <w:adjustRightInd w:val="0"/>
              <w:snapToGrid w:val="0"/>
              <w:spacing w:line="300" w:lineRule="exact"/>
              <w:ind w:firstLine="420" w:firstLineChars="200"/>
              <w:rPr>
                <w:rFonts w:ascii="楷体" w:hAnsi="楷体" w:eastAsia="楷体" w:cs="宋体"/>
                <w:szCs w:val="21"/>
              </w:rPr>
            </w:pPr>
            <w:r>
              <w:rPr>
                <w:rFonts w:hint="eastAsia" w:ascii="楷体" w:hAnsi="楷体" w:eastAsia="楷体" w:cs="宋体"/>
                <w:szCs w:val="21"/>
              </w:rPr>
              <w:t>1)评价外部供方的业绩；</w:t>
            </w:r>
          </w:p>
          <w:p>
            <w:pPr>
              <w:adjustRightInd w:val="0"/>
              <w:snapToGrid w:val="0"/>
              <w:spacing w:line="300" w:lineRule="exact"/>
              <w:ind w:firstLine="420" w:firstLineChars="200"/>
              <w:rPr>
                <w:rFonts w:ascii="楷体" w:hAnsi="楷体" w:eastAsia="楷体" w:cs="宋体"/>
                <w:szCs w:val="21"/>
              </w:rPr>
            </w:pPr>
            <w:r>
              <w:rPr>
                <w:rFonts w:hint="eastAsia" w:ascii="楷体" w:hAnsi="楷体" w:eastAsia="楷体" w:cs="宋体"/>
                <w:szCs w:val="21"/>
              </w:rPr>
              <w:t xml:space="preserve">2) 确定监视、测量（适用时)、分析和评价的方法，以确保结果可行；  </w:t>
            </w:r>
          </w:p>
          <w:p>
            <w:pPr>
              <w:adjustRightInd w:val="0"/>
              <w:snapToGrid w:val="0"/>
              <w:spacing w:line="300" w:lineRule="exact"/>
              <w:ind w:firstLine="420" w:firstLineChars="200"/>
              <w:rPr>
                <w:rFonts w:ascii="楷体" w:hAnsi="楷体" w:eastAsia="楷体" w:cs="宋体"/>
                <w:szCs w:val="21"/>
              </w:rPr>
            </w:pPr>
            <w:r>
              <w:rPr>
                <w:rFonts w:hint="eastAsia" w:ascii="楷体" w:hAnsi="楷体" w:eastAsia="楷体" w:cs="宋体"/>
                <w:szCs w:val="21"/>
              </w:rPr>
              <w:t>3) 组织评价其环境绩效所依据的准则和适当的参数；</w:t>
            </w:r>
          </w:p>
          <w:p>
            <w:pPr>
              <w:adjustRightInd w:val="0"/>
              <w:snapToGrid w:val="0"/>
              <w:spacing w:line="300" w:lineRule="exact"/>
              <w:ind w:firstLine="420" w:firstLineChars="200"/>
              <w:rPr>
                <w:rFonts w:ascii="楷体" w:hAnsi="楷体" w:eastAsia="楷体" w:cs="宋体"/>
                <w:szCs w:val="21"/>
              </w:rPr>
            </w:pPr>
            <w:r>
              <w:rPr>
                <w:rFonts w:hint="eastAsia" w:ascii="楷体" w:hAnsi="楷体" w:eastAsia="楷体" w:cs="宋体"/>
                <w:szCs w:val="21"/>
              </w:rPr>
              <w:t xml:space="preserve">4) 确定监视和测量的时机，何时应实施监视和测量； </w:t>
            </w:r>
          </w:p>
          <w:p>
            <w:pPr>
              <w:adjustRightInd w:val="0"/>
              <w:snapToGrid w:val="0"/>
              <w:spacing w:line="300" w:lineRule="exact"/>
              <w:ind w:firstLine="420" w:firstLineChars="200"/>
              <w:rPr>
                <w:rFonts w:ascii="楷体" w:hAnsi="楷体" w:eastAsia="楷体" w:cs="宋体"/>
                <w:szCs w:val="21"/>
              </w:rPr>
            </w:pPr>
            <w:r>
              <w:rPr>
                <w:rFonts w:hint="eastAsia" w:ascii="楷体" w:hAnsi="楷体" w:eastAsia="楷体" w:cs="宋体"/>
                <w:szCs w:val="21"/>
              </w:rPr>
              <w:t xml:space="preserve">5) 确定何时对监测和测量结果进行分析和评价； </w:t>
            </w:r>
          </w:p>
          <w:p>
            <w:pPr>
              <w:adjustRightInd w:val="0"/>
              <w:snapToGrid w:val="0"/>
              <w:spacing w:line="300" w:lineRule="exact"/>
              <w:ind w:firstLine="420" w:firstLineChars="200"/>
              <w:rPr>
                <w:rFonts w:ascii="楷体" w:hAnsi="楷体" w:eastAsia="楷体" w:cs="宋体"/>
                <w:szCs w:val="21"/>
              </w:rPr>
            </w:pPr>
            <w:r>
              <w:rPr>
                <w:rFonts w:hint="eastAsia" w:ascii="楷体" w:hAnsi="楷体" w:eastAsia="楷体" w:cs="宋体"/>
                <w:szCs w:val="21"/>
              </w:rPr>
              <w:t xml:space="preserve">6) 确定所需的质量/环境/职业健康安全管理体系绩效指标。 </w:t>
            </w:r>
          </w:p>
          <w:p>
            <w:pPr>
              <w:adjustRightInd w:val="0"/>
              <w:snapToGrid w:val="0"/>
              <w:spacing w:line="300" w:lineRule="exact"/>
              <w:ind w:firstLine="420" w:firstLineChars="200"/>
              <w:rPr>
                <w:rFonts w:ascii="楷体" w:hAnsi="楷体" w:eastAsia="楷体" w:cs="宋体"/>
                <w:szCs w:val="21"/>
              </w:rPr>
            </w:pPr>
            <w:r>
              <w:rPr>
                <w:rFonts w:hint="eastAsia" w:ascii="楷体" w:hAnsi="楷体" w:eastAsia="楷体" w:cs="宋体"/>
                <w:szCs w:val="21"/>
              </w:rPr>
              <w:t>7）公司通过管理评审、内外部审核、目标考核及日常公司各部门对所控制过程运行情况按相关文件的规定进行监视和测量，来实现对管理体系全过程的监视和测量。</w:t>
            </w:r>
          </w:p>
          <w:p>
            <w:pPr>
              <w:adjustRightInd w:val="0"/>
              <w:snapToGrid w:val="0"/>
              <w:spacing w:line="300" w:lineRule="exact"/>
              <w:ind w:firstLine="420" w:firstLineChars="200"/>
              <w:jc w:val="left"/>
              <w:rPr>
                <w:rFonts w:ascii="楷体" w:hAnsi="楷体" w:eastAsia="楷体" w:cs="宋体"/>
                <w:szCs w:val="21"/>
              </w:rPr>
            </w:pPr>
            <w:r>
              <w:rPr>
                <w:rFonts w:hint="eastAsia" w:ascii="楷体" w:hAnsi="楷体" w:eastAsia="楷体" w:cs="宋体"/>
                <w:szCs w:val="21"/>
              </w:rPr>
              <w:t>8）对绩效的分析和评价，对事项进行汇报的程序等。保留了必要的记录文件。</w:t>
            </w:r>
          </w:p>
        </w:tc>
        <w:tc>
          <w:tcPr>
            <w:tcW w:w="457"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81" w:type="dxa"/>
          </w:tcPr>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管理评审</w:t>
            </w:r>
          </w:p>
        </w:tc>
        <w:tc>
          <w:tcPr>
            <w:tcW w:w="751" w:type="dxa"/>
          </w:tcPr>
          <w:p>
            <w:pPr>
              <w:adjustRightInd w:val="0"/>
              <w:snapToGrid w:val="0"/>
              <w:spacing w:line="300" w:lineRule="exact"/>
              <w:rPr>
                <w:rFonts w:hint="eastAsia"/>
                <w:lang w:val="en-US" w:eastAsia="zh-CN"/>
              </w:rPr>
            </w:pPr>
            <w:r>
              <w:rPr>
                <w:rFonts w:hint="eastAsia"/>
                <w:lang w:val="en-US" w:eastAsia="zh-CN"/>
              </w:rPr>
              <w:t>QEO</w:t>
            </w:r>
          </w:p>
          <w:p>
            <w:pPr>
              <w:pStyle w:val="6"/>
              <w:rPr>
                <w:rFonts w:hint="default"/>
                <w:lang w:val="en-US"/>
              </w:rPr>
            </w:pPr>
            <w:r>
              <w:rPr>
                <w:rFonts w:hint="eastAsia" w:cs="Times New Roman"/>
                <w:sz w:val="21"/>
                <w:szCs w:val="21"/>
                <w:lang w:val="en-US" w:eastAsia="zh-CN"/>
              </w:rPr>
              <w:t>9.3</w:t>
            </w:r>
          </w:p>
        </w:tc>
        <w:tc>
          <w:tcPr>
            <w:tcW w:w="12120" w:type="dxa"/>
          </w:tcPr>
          <w:p>
            <w:pPr>
              <w:adjustRightInd w:val="0"/>
              <w:snapToGrid w:val="0"/>
              <w:spacing w:line="300" w:lineRule="exact"/>
              <w:rPr>
                <w:rFonts w:hint="eastAsia" w:ascii="楷体" w:hAnsi="楷体" w:eastAsia="楷体" w:cs="宋体"/>
                <w:szCs w:val="21"/>
                <w:lang w:val="en-US" w:eastAsia="zh-CN"/>
              </w:rPr>
            </w:pPr>
            <w:r>
              <w:rPr>
                <w:rFonts w:hint="eastAsia" w:ascii="楷体" w:hAnsi="楷体" w:eastAsia="楷体" w:cs="宋体"/>
                <w:szCs w:val="21"/>
                <w:lang w:val="en-US" w:eastAsia="zh-CN"/>
              </w:rPr>
              <w:t>编制并执行《管理评审程序》，按程序要求进行管理评审，每年至少一次，总经理主持。</w:t>
            </w:r>
          </w:p>
          <w:p>
            <w:pPr>
              <w:adjustRightInd w:val="0"/>
              <w:snapToGrid w:val="0"/>
              <w:spacing w:line="300" w:lineRule="exact"/>
              <w:ind w:firstLine="420" w:firstLineChars="200"/>
              <w:rPr>
                <w:rFonts w:hint="eastAsia" w:ascii="楷体" w:hAnsi="楷体" w:eastAsia="楷体" w:cs="宋体"/>
                <w:szCs w:val="21"/>
                <w:lang w:val="en-US" w:eastAsia="zh-CN"/>
              </w:rPr>
            </w:pPr>
            <w:r>
              <w:rPr>
                <w:rFonts w:hint="eastAsia" w:ascii="楷体" w:hAnsi="楷体" w:eastAsia="楷体" w:cs="宋体"/>
                <w:szCs w:val="21"/>
                <w:lang w:val="en-US" w:eastAsia="zh-CN"/>
              </w:rPr>
              <w:t>查最近一次管理评审，提供了管理评审计划、会议签到表、质量环境职业健康安全管理体系运行报告、各部门的汇报材料、管理评审报告、改进计划</w:t>
            </w:r>
          </w:p>
          <w:p>
            <w:pPr>
              <w:adjustRightInd w:val="0"/>
              <w:snapToGrid w:val="0"/>
              <w:spacing w:line="300" w:lineRule="exact"/>
              <w:ind w:firstLine="420" w:firstLineChars="200"/>
              <w:rPr>
                <w:rFonts w:hint="eastAsia" w:ascii="楷体" w:hAnsi="楷体" w:eastAsia="楷体" w:cs="宋体"/>
                <w:szCs w:val="21"/>
                <w:lang w:val="en-US" w:eastAsia="zh-CN"/>
              </w:rPr>
            </w:pPr>
            <w:r>
              <w:rPr>
                <w:rFonts w:hint="eastAsia" w:ascii="楷体" w:hAnsi="楷体" w:eastAsia="楷体" w:cs="宋体"/>
                <w:szCs w:val="21"/>
                <w:lang w:val="en-US" w:eastAsia="zh-CN"/>
              </w:rPr>
              <w:t>1.查《管理评审计划》，明确了评审目的、地点、主持人、参加评审的人员、评审的内容和各部门需准备的评审材料。</w:t>
            </w:r>
          </w:p>
          <w:p>
            <w:pPr>
              <w:adjustRightInd w:val="0"/>
              <w:snapToGrid w:val="0"/>
              <w:spacing w:line="300" w:lineRule="exact"/>
              <w:ind w:firstLine="420" w:firstLineChars="200"/>
              <w:rPr>
                <w:rFonts w:hint="eastAsia" w:ascii="楷体" w:hAnsi="楷体" w:eastAsia="楷体" w:cs="宋体"/>
                <w:szCs w:val="21"/>
                <w:lang w:val="en-US" w:eastAsia="zh-CN"/>
              </w:rPr>
            </w:pPr>
            <w:r>
              <w:rPr>
                <w:rFonts w:hint="eastAsia" w:ascii="楷体" w:hAnsi="楷体" w:eastAsia="楷体" w:cs="宋体"/>
                <w:szCs w:val="21"/>
                <w:lang w:val="en-US" w:eastAsia="zh-CN"/>
              </w:rPr>
              <w:t>2.实际执行：于2022年6月15日在公司会议室由总经理贾卫华主持召开了管理评审。</w:t>
            </w:r>
          </w:p>
          <w:p>
            <w:pPr>
              <w:adjustRightInd w:val="0"/>
              <w:snapToGrid w:val="0"/>
              <w:spacing w:line="300" w:lineRule="exact"/>
              <w:rPr>
                <w:rFonts w:hint="eastAsia" w:ascii="楷体" w:hAnsi="楷体" w:eastAsia="楷体" w:cs="宋体"/>
                <w:szCs w:val="21"/>
                <w:lang w:val="en-US" w:eastAsia="zh-CN"/>
              </w:rPr>
            </w:pPr>
            <w:r>
              <w:rPr>
                <w:rFonts w:hint="eastAsia" w:ascii="楷体" w:hAnsi="楷体" w:eastAsia="楷体" w:cs="宋体"/>
                <w:szCs w:val="21"/>
                <w:lang w:val="en-US" w:eastAsia="zh-CN"/>
              </w:rPr>
              <w:t>提供了管理评审会议记录、各部门领导所做的本部门体系运行工作汇报。现场询问各部门经理，均参加了管理评审会议。</w:t>
            </w:r>
          </w:p>
          <w:p>
            <w:pPr>
              <w:pStyle w:val="7"/>
              <w:ind w:left="240" w:right="143" w:firstLine="210" w:firstLineChars="100"/>
              <w:rPr>
                <w:rFonts w:hint="eastAsia" w:ascii="楷体" w:hAnsi="楷体" w:eastAsia="楷体" w:cs="宋体"/>
                <w:kern w:val="2"/>
                <w:sz w:val="21"/>
                <w:szCs w:val="21"/>
                <w:lang w:val="en-US" w:eastAsia="zh-CN" w:bidi="ar-SA"/>
              </w:rPr>
            </w:pPr>
            <w:r>
              <w:rPr>
                <w:rFonts w:hint="eastAsia" w:ascii="楷体" w:hAnsi="楷体" w:eastAsia="楷体" w:cs="宋体"/>
                <w:kern w:val="2"/>
                <w:sz w:val="21"/>
                <w:szCs w:val="21"/>
                <w:lang w:val="en-US" w:eastAsia="zh-CN" w:bidi="ar-SA"/>
              </w:rPr>
              <w:t>3.查《管理评审报告》，评审结论： 公司已按照GB/T19001—2016、GB/T24001-2016和GB/T45001-2020标准建立了符合本公司实际的管理体系，体系是持续适宜的、充分的和有效的。基本能够得到实施和保持。方针、目标和指标是适应的，正在通过体系的运行不断实现。通过本次管理评审，确保了质量、环境和安全方针、目标和管理体系持续的适宜性、充分性和有效性的保证性，达到了持续改进的目的，为下一步外审工作奠定了良好的基础。</w:t>
            </w:r>
          </w:p>
          <w:p>
            <w:pPr>
              <w:adjustRightInd w:val="0"/>
              <w:snapToGrid w:val="0"/>
              <w:spacing w:line="300" w:lineRule="exact"/>
              <w:ind w:firstLine="420" w:firstLineChars="200"/>
              <w:rPr>
                <w:rFonts w:hint="eastAsia" w:ascii="楷体" w:hAnsi="楷体" w:eastAsia="楷体" w:cs="宋体"/>
                <w:kern w:val="2"/>
                <w:sz w:val="21"/>
                <w:szCs w:val="21"/>
                <w:lang w:val="en-US" w:eastAsia="zh-CN" w:bidi="ar-SA"/>
              </w:rPr>
            </w:pPr>
            <w:r>
              <w:rPr>
                <w:rFonts w:hint="eastAsia" w:ascii="楷体" w:hAnsi="楷体" w:eastAsia="楷体" w:cs="宋体"/>
                <w:kern w:val="2"/>
                <w:sz w:val="21"/>
                <w:szCs w:val="21"/>
                <w:lang w:val="en-US" w:eastAsia="zh-CN" w:bidi="ar-SA"/>
              </w:rPr>
              <w:t>4.管理评审改进内容及要求：</w:t>
            </w:r>
          </w:p>
          <w:p>
            <w:pPr>
              <w:adjustRightInd w:val="0"/>
              <w:snapToGrid w:val="0"/>
              <w:spacing w:line="300" w:lineRule="exact"/>
              <w:ind w:firstLine="420" w:firstLineChars="200"/>
              <w:rPr>
                <w:rFonts w:hint="eastAsia" w:ascii="楷体" w:hAnsi="楷体" w:eastAsia="楷体" w:cs="宋体"/>
                <w:szCs w:val="21"/>
                <w:lang w:val="en-US" w:eastAsia="zh-CN"/>
              </w:rPr>
            </w:pPr>
            <w:r>
              <w:rPr>
                <w:rFonts w:hint="eastAsia" w:ascii="楷体" w:hAnsi="楷体" w:eastAsia="楷体" w:cs="宋体"/>
                <w:szCs w:val="21"/>
                <w:lang w:val="en-US" w:eastAsia="zh-CN"/>
              </w:rPr>
              <w:t>继续加强三体系标准及管理体系文件的学习和教育，确保体系得到有效实施和保持，办公室组织于2022年6月25日前完成。</w:t>
            </w:r>
          </w:p>
          <w:p>
            <w:pPr>
              <w:adjustRightInd w:val="0"/>
              <w:snapToGrid w:val="0"/>
              <w:spacing w:line="300" w:lineRule="exact"/>
              <w:ind w:firstLine="420" w:firstLineChars="200"/>
              <w:rPr>
                <w:rFonts w:hint="eastAsia" w:ascii="楷体" w:hAnsi="楷体" w:eastAsia="楷体" w:cs="宋体"/>
                <w:szCs w:val="21"/>
                <w:lang w:val="en-US" w:eastAsia="zh-CN"/>
              </w:rPr>
            </w:pPr>
            <w:r>
              <w:rPr>
                <w:rFonts w:hint="eastAsia" w:ascii="楷体" w:hAnsi="楷体" w:eastAsia="楷体" w:cs="宋体"/>
                <w:szCs w:val="21"/>
                <w:lang w:val="en-US" w:eastAsia="zh-CN"/>
              </w:rPr>
              <w:t>加强销售人员对市场营销的专业基本知识的学习。</w:t>
            </w:r>
          </w:p>
          <w:p>
            <w:pPr>
              <w:adjustRightInd w:val="0"/>
              <w:snapToGrid w:val="0"/>
              <w:spacing w:line="300" w:lineRule="exact"/>
              <w:ind w:firstLine="420" w:firstLineChars="200"/>
              <w:rPr>
                <w:rFonts w:hint="default" w:ascii="楷体" w:hAnsi="楷体" w:eastAsia="楷体" w:cs="宋体"/>
                <w:szCs w:val="21"/>
                <w:lang w:val="en-US"/>
              </w:rPr>
            </w:pPr>
            <w:r>
              <w:rPr>
                <w:rFonts w:hint="eastAsia" w:ascii="楷体" w:hAnsi="楷体" w:eastAsia="楷体" w:cs="宋体"/>
                <w:szCs w:val="21"/>
                <w:lang w:val="en-US" w:eastAsia="zh-CN"/>
              </w:rPr>
              <w:t>针对管理评审提出的改进意见，组织人员进行了培训，提供有培训记录和管理评审跟踪验证报告，管理评审提出的改进措施已培训完成，目前已实施完成。确认时间：2022.6.18。</w:t>
            </w:r>
          </w:p>
        </w:tc>
        <w:tc>
          <w:tcPr>
            <w:tcW w:w="457" w:type="dxa"/>
          </w:tcPr>
          <w:p>
            <w:pPr>
              <w:adjustRightInd w:val="0"/>
              <w:snapToGrid w:val="0"/>
              <w:spacing w:line="300" w:lineRule="exact"/>
              <w:rPr>
                <w:rFonts w:hint="default" w:ascii="楷体" w:hAnsi="楷体" w:eastAsia="楷体" w:cs="宋体"/>
                <w:szCs w:val="21"/>
                <w:lang w:val="en-US" w:eastAsia="zh-CN"/>
              </w:rPr>
            </w:pPr>
            <w:r>
              <w:rPr>
                <w:rFonts w:hint="eastAsia" w:ascii="楷体" w:hAnsi="楷体" w:eastAsia="楷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381"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rPr>
              <w:t>持续改进</w:t>
            </w:r>
          </w:p>
        </w:tc>
        <w:tc>
          <w:tcPr>
            <w:tcW w:w="751" w:type="dxa"/>
          </w:tcPr>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QEO</w:t>
            </w:r>
          </w:p>
          <w:p>
            <w:pPr>
              <w:adjustRightInd w:val="0"/>
              <w:snapToGrid w:val="0"/>
              <w:spacing w:line="300" w:lineRule="exact"/>
              <w:rPr>
                <w:rFonts w:ascii="楷体" w:hAnsi="楷体" w:eastAsia="楷体" w:cs="宋体"/>
                <w:szCs w:val="21"/>
              </w:rPr>
            </w:pPr>
            <w:r>
              <w:rPr>
                <w:rFonts w:hint="eastAsia" w:ascii="楷体" w:hAnsi="楷体" w:eastAsia="楷体" w:cs="宋体"/>
                <w:szCs w:val="21"/>
              </w:rPr>
              <w:t>10.1</w:t>
            </w:r>
          </w:p>
          <w:p>
            <w:pPr>
              <w:adjustRightInd w:val="0"/>
              <w:snapToGrid w:val="0"/>
              <w:spacing w:line="300" w:lineRule="exact"/>
              <w:rPr>
                <w:rFonts w:ascii="楷体" w:hAnsi="楷体" w:eastAsia="楷体" w:cs="宋体"/>
                <w:szCs w:val="21"/>
              </w:rPr>
            </w:pPr>
          </w:p>
        </w:tc>
        <w:tc>
          <w:tcPr>
            <w:tcW w:w="12120" w:type="dxa"/>
            <w:vAlign w:val="center"/>
          </w:tcPr>
          <w:p>
            <w:pPr>
              <w:adjustRightInd w:val="0"/>
              <w:snapToGrid w:val="0"/>
              <w:spacing w:line="300" w:lineRule="exact"/>
              <w:ind w:firstLine="420" w:firstLineChars="200"/>
              <w:rPr>
                <w:rFonts w:hint="eastAsia" w:ascii="楷体" w:hAnsi="楷体" w:eastAsia="楷体" w:cs="宋体"/>
                <w:szCs w:val="21"/>
                <w:lang w:val="en-US" w:eastAsia="zh-CN"/>
              </w:rPr>
            </w:pPr>
            <w:r>
              <w:rPr>
                <w:rFonts w:hint="eastAsia" w:ascii="楷体" w:hAnsi="楷体" w:eastAsia="楷体" w:cs="宋体"/>
                <w:szCs w:val="21"/>
                <w:lang w:val="en-US" w:eastAsia="zh-CN"/>
              </w:rPr>
              <w:sym w:font="Wingdings 2" w:char="F098"/>
            </w:r>
            <w:r>
              <w:rPr>
                <w:rFonts w:hint="eastAsia" w:ascii="楷体" w:hAnsi="楷体" w:eastAsia="楷体" w:cs="宋体"/>
                <w:szCs w:val="21"/>
                <w:lang w:val="en-US" w:eastAsia="zh-CN"/>
              </w:rPr>
              <w:t>企业通过建立管理方针、质量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adjustRightInd w:val="0"/>
              <w:snapToGrid w:val="0"/>
              <w:spacing w:line="300" w:lineRule="exact"/>
              <w:ind w:firstLine="420" w:firstLineChars="200"/>
              <w:rPr>
                <w:rFonts w:hint="eastAsia" w:ascii="楷体" w:hAnsi="楷体" w:eastAsia="楷体" w:cs="宋体"/>
                <w:szCs w:val="21"/>
                <w:lang w:val="en-US" w:eastAsia="zh-CN"/>
              </w:rPr>
            </w:pPr>
            <w:r>
              <w:rPr>
                <w:rFonts w:hint="eastAsia" w:ascii="楷体" w:hAnsi="楷体" w:eastAsia="楷体" w:cs="宋体"/>
                <w:szCs w:val="21"/>
                <w:lang w:val="en-US" w:eastAsia="zh-CN"/>
              </w:rPr>
              <w:sym w:font="Wingdings 2" w:char="F098"/>
            </w:r>
            <w:r>
              <w:rPr>
                <w:rFonts w:hint="eastAsia" w:ascii="楷体" w:hAnsi="楷体" w:eastAsia="楷体" w:cs="宋体"/>
                <w:szCs w:val="21"/>
                <w:lang w:val="en-US" w:eastAsia="zh-CN"/>
              </w:rPr>
              <w:t>企业充分识别和评价存在的改进机会，以持续满足顾客和相关方要求改进的方法措施包括：</w:t>
            </w:r>
          </w:p>
          <w:p>
            <w:pPr>
              <w:adjustRightInd w:val="0"/>
              <w:snapToGrid w:val="0"/>
              <w:spacing w:line="300" w:lineRule="exact"/>
              <w:ind w:firstLine="420" w:firstLineChars="200"/>
              <w:rPr>
                <w:rFonts w:hint="eastAsia" w:ascii="楷体" w:hAnsi="楷体" w:eastAsia="楷体" w:cs="宋体"/>
                <w:szCs w:val="21"/>
                <w:lang w:val="en-US" w:eastAsia="zh-CN"/>
              </w:rPr>
            </w:pPr>
            <w:r>
              <w:rPr>
                <w:rFonts w:hint="eastAsia" w:ascii="楷体" w:hAnsi="楷体" w:eastAsia="楷体" w:cs="宋体"/>
                <w:szCs w:val="21"/>
                <w:lang w:val="en-US" w:eastAsia="zh-CN"/>
              </w:rPr>
              <w:t>1）引导创新、修改和改进现有过程或实施新过程的突破项目；</w:t>
            </w:r>
          </w:p>
          <w:p>
            <w:pPr>
              <w:adjustRightInd w:val="0"/>
              <w:snapToGrid w:val="0"/>
              <w:spacing w:line="300" w:lineRule="exact"/>
              <w:ind w:firstLine="420" w:firstLineChars="200"/>
              <w:rPr>
                <w:rFonts w:hint="eastAsia" w:ascii="楷体" w:hAnsi="楷体" w:eastAsia="楷体" w:cs="宋体"/>
                <w:szCs w:val="21"/>
                <w:lang w:val="en-US" w:eastAsia="zh-CN"/>
              </w:rPr>
            </w:pPr>
            <w:r>
              <w:rPr>
                <w:rFonts w:hint="eastAsia" w:ascii="楷体" w:hAnsi="楷体" w:eastAsia="楷体" w:cs="宋体"/>
                <w:szCs w:val="21"/>
                <w:lang w:val="en-US" w:eastAsia="zh-CN"/>
              </w:rPr>
              <w:t>2）在现有过程中开展渐进、持续的改进活动；</w:t>
            </w:r>
          </w:p>
          <w:p>
            <w:pPr>
              <w:adjustRightInd w:val="0"/>
              <w:snapToGrid w:val="0"/>
              <w:spacing w:line="300" w:lineRule="exact"/>
              <w:ind w:firstLine="420" w:firstLineChars="200"/>
              <w:rPr>
                <w:rFonts w:hint="eastAsia" w:ascii="楷体" w:hAnsi="楷体" w:eastAsia="楷体" w:cs="宋体"/>
                <w:szCs w:val="21"/>
              </w:rPr>
            </w:pPr>
            <w:r>
              <w:rPr>
                <w:rFonts w:hint="eastAsia" w:ascii="楷体" w:hAnsi="楷体" w:eastAsia="楷体" w:cs="宋体"/>
                <w:szCs w:val="21"/>
                <w:lang w:val="en-US" w:eastAsia="zh-CN"/>
              </w:rPr>
              <w:t>3）纠正所存在不符合的原因等。</w:t>
            </w:r>
          </w:p>
        </w:tc>
        <w:tc>
          <w:tcPr>
            <w:tcW w:w="457" w:type="dxa"/>
          </w:tcPr>
          <w:p>
            <w:pPr>
              <w:adjustRightInd w:val="0"/>
              <w:snapToGrid w:val="0"/>
              <w:spacing w:line="300" w:lineRule="exact"/>
              <w:rPr>
                <w:rFonts w:ascii="楷体" w:hAnsi="楷体" w:eastAsia="楷体" w:cs="宋体"/>
                <w:szCs w:val="21"/>
              </w:rPr>
            </w:pPr>
            <w:r>
              <w:rPr>
                <w:rFonts w:hint="eastAsia" w:ascii="楷体" w:hAnsi="楷体" w:eastAsia="楷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381" w:type="dxa"/>
          </w:tcPr>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预防和纠正措施</w:t>
            </w:r>
          </w:p>
        </w:tc>
        <w:tc>
          <w:tcPr>
            <w:tcW w:w="751" w:type="dxa"/>
          </w:tcPr>
          <w:p>
            <w:pPr>
              <w:adjustRightInd w:val="0"/>
              <w:snapToGrid w:val="0"/>
              <w:spacing w:line="300" w:lineRule="exact"/>
              <w:rPr>
                <w:rFonts w:hint="eastAsia" w:ascii="楷体" w:hAnsi="楷体" w:eastAsia="楷体" w:cs="宋体"/>
                <w:szCs w:val="21"/>
                <w:lang w:eastAsia="zh-CN"/>
              </w:rPr>
            </w:pPr>
            <w:r>
              <w:rPr>
                <w:rFonts w:hint="eastAsia" w:ascii="楷体" w:hAnsi="楷体" w:eastAsia="楷体" w:cs="宋体"/>
                <w:szCs w:val="21"/>
                <w:lang w:eastAsia="zh-CN"/>
              </w:rPr>
              <w:t>QEO</w:t>
            </w:r>
          </w:p>
          <w:p>
            <w:pPr>
              <w:adjustRightInd w:val="0"/>
              <w:snapToGrid w:val="0"/>
              <w:spacing w:line="300" w:lineRule="exact"/>
              <w:rPr>
                <w:rFonts w:hint="eastAsia" w:ascii="楷体" w:hAnsi="楷体" w:eastAsia="楷体" w:cs="宋体"/>
                <w:szCs w:val="21"/>
              </w:rPr>
            </w:pPr>
            <w:r>
              <w:rPr>
                <w:rFonts w:hint="eastAsia" w:ascii="楷体" w:hAnsi="楷体" w:eastAsia="楷体" w:cs="宋体"/>
                <w:szCs w:val="21"/>
              </w:rPr>
              <w:t>10.3</w:t>
            </w:r>
          </w:p>
        </w:tc>
        <w:tc>
          <w:tcPr>
            <w:tcW w:w="12120" w:type="dxa"/>
            <w:vAlign w:val="center"/>
          </w:tcPr>
          <w:p>
            <w:pPr>
              <w:adjustRightInd w:val="0"/>
              <w:snapToGrid w:val="0"/>
              <w:spacing w:line="300" w:lineRule="exact"/>
              <w:ind w:firstLine="420" w:firstLineChars="200"/>
              <w:rPr>
                <w:rFonts w:hint="eastAsia" w:ascii="楷体" w:hAnsi="楷体" w:eastAsia="楷体" w:cs="宋体"/>
                <w:szCs w:val="21"/>
                <w:lang w:val="en-US" w:eastAsia="zh-CN"/>
              </w:rPr>
            </w:pPr>
            <w:r>
              <w:rPr>
                <w:rFonts w:hint="eastAsia" w:ascii="楷体" w:hAnsi="楷体" w:eastAsia="楷体" w:cs="宋体"/>
                <w:szCs w:val="21"/>
                <w:lang w:val="en-US" w:eastAsia="zh-CN"/>
              </w:rPr>
              <w:sym w:font="Wingdings 2" w:char="F098"/>
            </w:r>
            <w:r>
              <w:rPr>
                <w:rFonts w:hint="eastAsia" w:ascii="楷体" w:hAnsi="楷体" w:eastAsia="楷体" w:cs="宋体"/>
                <w:szCs w:val="21"/>
                <w:lang w:val="en-US" w:eastAsia="zh-CN"/>
              </w:rPr>
              <w:t>企业管理体系按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的目的，以提升产品测评和服务过程质量和管理体系绩效。</w:t>
            </w:r>
          </w:p>
          <w:p>
            <w:pPr>
              <w:adjustRightInd w:val="0"/>
              <w:snapToGrid w:val="0"/>
              <w:spacing w:line="300" w:lineRule="exact"/>
              <w:ind w:firstLine="420" w:firstLineChars="200"/>
              <w:rPr>
                <w:rFonts w:hint="eastAsia" w:ascii="楷体" w:hAnsi="楷体" w:eastAsia="楷体" w:cs="宋体"/>
                <w:szCs w:val="21"/>
              </w:rPr>
            </w:pPr>
            <w:r>
              <w:rPr>
                <w:rFonts w:hint="eastAsia" w:ascii="楷体" w:hAnsi="楷体" w:eastAsia="楷体" w:cs="宋体"/>
                <w:szCs w:val="21"/>
                <w:lang w:val="en-US" w:eastAsia="zh-CN"/>
              </w:rPr>
              <w:sym w:font="Wingdings 2" w:char="F098"/>
            </w:r>
            <w:r>
              <w:rPr>
                <w:rFonts w:hint="eastAsia" w:ascii="楷体" w:hAnsi="楷体" w:eastAsia="楷体" w:cs="宋体"/>
                <w:szCs w:val="21"/>
                <w:lang w:val="en-US" w:eastAsia="zh-CN"/>
              </w:rPr>
              <w:t>日常监视和测量过程中发现的不合格、不符合要求相关责任部门及时制定相应的改进、纠正和纠正措施，以实现管理体系的持续改进。</w:t>
            </w:r>
          </w:p>
        </w:tc>
        <w:tc>
          <w:tcPr>
            <w:tcW w:w="457" w:type="dxa"/>
          </w:tcPr>
          <w:p>
            <w:pPr>
              <w:adjustRightInd w:val="0"/>
              <w:snapToGrid w:val="0"/>
              <w:spacing w:line="300" w:lineRule="exact"/>
              <w:rPr>
                <w:rFonts w:hint="eastAsia" w:ascii="楷体" w:hAnsi="楷体" w:eastAsia="楷体" w:cs="宋体"/>
                <w:szCs w:val="21"/>
                <w:lang w:val="en-US" w:eastAsia="zh-CN"/>
              </w:rPr>
            </w:pPr>
            <w:r>
              <w:rPr>
                <w:rFonts w:hint="eastAsia" w:ascii="楷体" w:hAnsi="楷体" w:eastAsia="楷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381" w:type="dxa"/>
            <w:vAlign w:val="center"/>
          </w:tcPr>
          <w:p>
            <w:pPr>
              <w:adjustRightInd w:val="0"/>
              <w:snapToGrid w:val="0"/>
              <w:spacing w:line="300" w:lineRule="exact"/>
              <w:rPr>
                <w:rFonts w:hint="eastAsia" w:ascii="楷体" w:hAnsi="楷体" w:eastAsia="楷体" w:cs="宋体"/>
                <w:szCs w:val="21"/>
                <w:lang w:val="en-US" w:eastAsia="zh-CN"/>
              </w:rPr>
            </w:pPr>
            <w:r>
              <w:rPr>
                <w:rFonts w:hint="eastAsia" w:ascii="楷体" w:hAnsi="楷体" w:eastAsia="楷体" w:cs="宋体"/>
                <w:szCs w:val="21"/>
                <w:lang w:val="en-US" w:eastAsia="zh-CN"/>
              </w:rPr>
              <w:t>范围的确认、资质的确认、法律法规执行情况、质量抽查及顾客投诉情况、一阶段不符合验证</w:t>
            </w:r>
          </w:p>
        </w:tc>
        <w:tc>
          <w:tcPr>
            <w:tcW w:w="751" w:type="dxa"/>
            <w:vAlign w:val="center"/>
          </w:tcPr>
          <w:p>
            <w:pPr>
              <w:adjustRightInd w:val="0"/>
              <w:snapToGrid w:val="0"/>
              <w:spacing w:line="300" w:lineRule="exact"/>
              <w:rPr>
                <w:rFonts w:hint="eastAsia" w:ascii="楷体" w:hAnsi="楷体" w:eastAsia="楷体" w:cs="宋体"/>
                <w:szCs w:val="21"/>
                <w:lang w:val="en-US" w:eastAsia="zh-CN"/>
              </w:rPr>
            </w:pPr>
          </w:p>
        </w:tc>
        <w:tc>
          <w:tcPr>
            <w:tcW w:w="12120" w:type="dxa"/>
            <w:vAlign w:val="center"/>
          </w:tcPr>
          <w:p>
            <w:pPr>
              <w:adjustRightInd w:val="0"/>
              <w:snapToGrid w:val="0"/>
              <w:spacing w:line="300" w:lineRule="exact"/>
              <w:rPr>
                <w:rFonts w:hint="default" w:ascii="楷体" w:hAnsi="楷体" w:eastAsia="楷体" w:cs="宋体"/>
                <w:szCs w:val="21"/>
                <w:lang w:val="en-US" w:eastAsia="zh-CN"/>
              </w:rPr>
            </w:pPr>
            <w:r>
              <w:rPr>
                <w:rFonts w:hint="eastAsia" w:ascii="楷体" w:hAnsi="楷体" w:eastAsia="楷体" w:cs="宋体"/>
                <w:szCs w:val="21"/>
                <w:lang w:val="en-US" w:eastAsia="zh-CN"/>
              </w:rPr>
              <w:t>范围的确认：见4.3条款审核记录，符合要求</w:t>
            </w:r>
          </w:p>
          <w:p>
            <w:pPr>
              <w:adjustRightInd w:val="0"/>
              <w:snapToGrid w:val="0"/>
              <w:spacing w:line="300" w:lineRule="exact"/>
              <w:rPr>
                <w:rFonts w:hint="default" w:ascii="楷体" w:hAnsi="楷体" w:eastAsia="楷体" w:cs="宋体"/>
                <w:szCs w:val="21"/>
                <w:lang w:val="en-US" w:eastAsia="zh-CN"/>
              </w:rPr>
            </w:pPr>
            <w:r>
              <w:rPr>
                <w:rFonts w:hint="eastAsia" w:ascii="楷体" w:hAnsi="楷体" w:eastAsia="楷体" w:cs="宋体"/>
                <w:szCs w:val="21"/>
                <w:lang w:val="en-US" w:eastAsia="zh-CN"/>
              </w:rPr>
              <w:t>资质的确认：见4.1条款审核记录，符合要求</w:t>
            </w:r>
          </w:p>
          <w:p>
            <w:pPr>
              <w:adjustRightInd w:val="0"/>
              <w:snapToGrid w:val="0"/>
              <w:spacing w:line="300" w:lineRule="exact"/>
              <w:rPr>
                <w:rFonts w:hint="default" w:ascii="楷体" w:hAnsi="楷体" w:eastAsia="楷体" w:cs="宋体"/>
                <w:szCs w:val="21"/>
                <w:lang w:val="en-US" w:eastAsia="zh-CN"/>
              </w:rPr>
            </w:pPr>
            <w:r>
              <w:rPr>
                <w:rFonts w:hint="eastAsia" w:ascii="楷体" w:hAnsi="楷体" w:eastAsia="楷体" w:cs="宋体"/>
                <w:szCs w:val="21"/>
                <w:lang w:val="en-US" w:eastAsia="zh-CN"/>
              </w:rPr>
              <w:t>法律法规执行情况：进行了合规性评价，符合要求；</w:t>
            </w:r>
          </w:p>
          <w:p>
            <w:pPr>
              <w:adjustRightInd w:val="0"/>
              <w:snapToGrid w:val="0"/>
              <w:spacing w:line="300" w:lineRule="exact"/>
              <w:rPr>
                <w:rFonts w:hint="eastAsia" w:ascii="楷体" w:hAnsi="楷体" w:eastAsia="楷体" w:cs="宋体"/>
                <w:szCs w:val="21"/>
                <w:lang w:val="en-US" w:eastAsia="zh-CN"/>
              </w:rPr>
            </w:pPr>
            <w:r>
              <w:rPr>
                <w:rFonts w:hint="eastAsia" w:ascii="楷体" w:hAnsi="楷体" w:eastAsia="楷体" w:cs="宋体"/>
                <w:szCs w:val="21"/>
                <w:lang w:val="en-US" w:eastAsia="zh-CN"/>
              </w:rPr>
              <w:t>质量抽查及顾客投诉情况：经询问自公司成立以来未发生过质量、安全和环境事故。</w:t>
            </w:r>
          </w:p>
          <w:p>
            <w:pPr>
              <w:pStyle w:val="2"/>
              <w:ind w:left="0" w:leftChars="0" w:firstLine="0" w:firstLineChars="0"/>
              <w:rPr>
                <w:rFonts w:hint="default" w:ascii="楷体" w:hAnsi="楷体" w:eastAsia="楷体" w:cs="宋体"/>
                <w:kern w:val="2"/>
                <w:sz w:val="21"/>
                <w:szCs w:val="21"/>
                <w:lang w:val="en-US" w:eastAsia="zh-CN" w:bidi="ar-SA"/>
              </w:rPr>
            </w:pPr>
            <w:r>
              <w:rPr>
                <w:rFonts w:hint="eastAsia" w:ascii="楷体" w:hAnsi="楷体" w:eastAsia="楷体" w:cs="宋体"/>
                <w:kern w:val="2"/>
                <w:sz w:val="21"/>
                <w:szCs w:val="21"/>
                <w:lang w:val="en-US" w:eastAsia="zh-CN" w:bidi="ar-SA"/>
              </w:rPr>
              <w:t>2021年11月10日，藁城区市场监督管理局对企业进行了抽查，未发现问题。</w:t>
            </w:r>
          </w:p>
          <w:p>
            <w:pPr>
              <w:adjustRightInd w:val="0"/>
              <w:snapToGrid w:val="0"/>
              <w:spacing w:line="300" w:lineRule="exact"/>
              <w:rPr>
                <w:rFonts w:hint="default" w:ascii="楷体" w:hAnsi="楷体" w:eastAsia="楷体" w:cs="宋体"/>
                <w:szCs w:val="21"/>
                <w:lang w:val="en-US" w:eastAsia="zh-CN"/>
              </w:rPr>
            </w:pPr>
            <w:r>
              <w:rPr>
                <w:rFonts w:hint="eastAsia" w:ascii="楷体" w:hAnsi="楷体" w:eastAsia="楷体" w:cs="宋体"/>
                <w:kern w:val="2"/>
                <w:sz w:val="21"/>
                <w:szCs w:val="21"/>
                <w:lang w:val="en-US" w:eastAsia="zh-CN" w:bidi="ar-SA"/>
              </w:rPr>
              <w:t>上次不符合验证：上次审核不符合发生在办公室Q7.3和Q7.5.3条款，不符合已整改完成，未发现类似问题。</w:t>
            </w:r>
          </w:p>
        </w:tc>
        <w:tc>
          <w:tcPr>
            <w:tcW w:w="457" w:type="dxa"/>
          </w:tcPr>
          <w:p>
            <w:pPr>
              <w:adjustRightInd w:val="0"/>
              <w:snapToGrid w:val="0"/>
              <w:spacing w:line="300" w:lineRule="exact"/>
              <w:rPr>
                <w:rFonts w:hint="eastAsia" w:ascii="楷体" w:hAnsi="楷体" w:eastAsia="楷体" w:cs="宋体"/>
                <w:szCs w:val="21"/>
              </w:rPr>
            </w:pPr>
            <w:r>
              <w:rPr>
                <w:rFonts w:hint="eastAsia" w:ascii="楷体" w:hAnsi="楷体" w:eastAsia="楷体" w:cs="宋体"/>
                <w:szCs w:val="21"/>
                <w:lang w:val="en-US" w:eastAsia="zh-CN"/>
              </w:rPr>
              <w:t>Y</w:t>
            </w:r>
          </w:p>
        </w:tc>
      </w:tr>
    </w:tbl>
    <w:p>
      <w:pPr>
        <w:spacing w:line="480" w:lineRule="exact"/>
        <w:jc w:val="both"/>
        <w:rPr>
          <w:rFonts w:hint="eastAsia" w:ascii="隶书" w:hAnsi="宋体" w:eastAsia="隶书" w:cs="隶书"/>
          <w:color w:val="000000"/>
          <w:sz w:val="36"/>
          <w:szCs w:val="36"/>
        </w:rPr>
      </w:pPr>
    </w:p>
    <w:p>
      <w:pPr>
        <w:spacing w:line="480" w:lineRule="exact"/>
        <w:jc w:val="center"/>
        <w:rPr>
          <w:rFonts w:hint="eastAsia" w:ascii="隶书" w:hAnsi="宋体" w:eastAsia="隶书" w:cs="隶书"/>
          <w:color w:val="000000"/>
          <w:sz w:val="36"/>
          <w:szCs w:val="36"/>
        </w:rPr>
      </w:pPr>
    </w:p>
    <w:p>
      <w:pPr>
        <w:pStyle w:val="2"/>
        <w:rPr>
          <w:rFonts w:hint="eastAsia" w:ascii="隶书" w:hAnsi="宋体" w:eastAsia="隶书" w:cs="隶书"/>
          <w:color w:val="000000"/>
          <w:sz w:val="36"/>
          <w:szCs w:val="36"/>
        </w:rPr>
      </w:pPr>
    </w:p>
    <w:p>
      <w:pPr>
        <w:pStyle w:val="2"/>
        <w:rPr>
          <w:rFonts w:hint="eastAsia" w:ascii="隶书" w:hAnsi="宋体" w:eastAsia="隶书" w:cs="隶书"/>
          <w:color w:val="000000"/>
          <w:sz w:val="36"/>
          <w:szCs w:val="36"/>
        </w:rPr>
      </w:pPr>
    </w:p>
    <w:p>
      <w:pPr>
        <w:pStyle w:val="2"/>
        <w:rPr>
          <w:rFonts w:hint="eastAsia" w:ascii="隶书" w:hAnsi="宋体" w:eastAsia="隶书" w:cs="隶书"/>
          <w:color w:val="000000"/>
          <w:sz w:val="36"/>
          <w:szCs w:val="36"/>
        </w:rPr>
      </w:pPr>
    </w:p>
    <w:p>
      <w:pPr>
        <w:pStyle w:val="2"/>
        <w:ind w:left="0" w:leftChars="0" w:firstLine="0" w:firstLineChars="0"/>
        <w:rPr>
          <w:rFonts w:hint="eastAsia" w:ascii="隶书" w:hAnsi="宋体" w:eastAsia="隶书" w:cs="隶书"/>
          <w:color w:val="000000"/>
          <w:sz w:val="36"/>
          <w:szCs w:val="36"/>
        </w:rPr>
      </w:pPr>
    </w:p>
    <w:p>
      <w:pPr>
        <w:spacing w:line="480" w:lineRule="exact"/>
        <w:jc w:val="center"/>
      </w:pPr>
      <w:r>
        <w:rPr>
          <w:rFonts w:hint="eastAsia" w:ascii="隶书" w:hAnsi="宋体" w:eastAsia="隶书" w:cs="隶书"/>
          <w:color w:val="000000"/>
          <w:sz w:val="36"/>
          <w:szCs w:val="36"/>
        </w:rPr>
        <w:t>管理体系审核记录表</w:t>
      </w:r>
    </w:p>
    <w:tbl>
      <w:tblPr>
        <w:tblStyle w:val="13"/>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1226"/>
        <w:gridCol w:w="11245"/>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1" w:type="pct"/>
            <w:vMerge w:val="restart"/>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r>
              <w:rPr>
                <w:rFonts w:hint="eastAsia" w:ascii="楷体" w:hAnsi="楷体" w:eastAsia="楷体"/>
                <w:szCs w:val="21"/>
              </w:rPr>
              <w:t>过程与活动、抽样计划</w:t>
            </w:r>
          </w:p>
        </w:tc>
        <w:tc>
          <w:tcPr>
            <w:tcW w:w="413" w:type="pct"/>
            <w:vMerge w:val="restart"/>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3788" w:type="pct"/>
            <w:tcBorders>
              <w:top w:val="single" w:color="auto" w:sz="4" w:space="0"/>
              <w:left w:val="single" w:color="auto" w:sz="4" w:space="0"/>
              <w:bottom w:val="single" w:color="auto" w:sz="4" w:space="0"/>
              <w:right w:val="single" w:color="auto" w:sz="4" w:space="0"/>
            </w:tcBorders>
            <w:vAlign w:val="center"/>
          </w:tcPr>
          <w:p>
            <w:pPr>
              <w:rPr>
                <w:rFonts w:hint="default" w:ascii="楷体" w:hAnsi="楷体" w:eastAsia="楷体"/>
                <w:szCs w:val="21"/>
                <w:lang w:val="en-US" w:eastAsia="zh-CN"/>
              </w:rPr>
            </w:pPr>
            <w:r>
              <w:rPr>
                <w:rFonts w:hint="eastAsia" w:ascii="楷体" w:hAnsi="楷体" w:eastAsia="楷体"/>
                <w:szCs w:val="21"/>
              </w:rPr>
              <w:t>受审核部门：</w:t>
            </w:r>
            <w:r>
              <w:rPr>
                <w:rFonts w:hint="eastAsia" w:ascii="楷体" w:hAnsi="楷体" w:eastAsia="楷体"/>
                <w:szCs w:val="21"/>
                <w:lang w:eastAsia="zh-CN"/>
              </w:rPr>
              <w:t>采购部</w:t>
            </w:r>
            <w:r>
              <w:rPr>
                <w:rFonts w:hint="eastAsia" w:ascii="楷体" w:hAnsi="楷体" w:eastAsia="楷体"/>
                <w:szCs w:val="21"/>
                <w:lang w:val="en-US" w:eastAsia="zh-CN"/>
              </w:rPr>
              <w:t xml:space="preserve">  </w:t>
            </w:r>
            <w:r>
              <w:rPr>
                <w:rFonts w:ascii="楷体" w:hAnsi="楷体" w:eastAsia="楷体"/>
                <w:szCs w:val="21"/>
              </w:rPr>
              <w:t xml:space="preserve">      </w:t>
            </w:r>
            <w:r>
              <w:rPr>
                <w:rFonts w:hint="eastAsia" w:ascii="楷体" w:hAnsi="楷体" w:eastAsia="楷体"/>
                <w:szCs w:val="21"/>
                <w:lang w:val="en-US" w:eastAsia="zh-CN"/>
              </w:rPr>
              <w:t xml:space="preserve"> </w:t>
            </w:r>
            <w:r>
              <w:rPr>
                <w:rFonts w:hint="eastAsia" w:ascii="楷体" w:hAnsi="楷体" w:eastAsia="楷体"/>
                <w:szCs w:val="21"/>
              </w:rPr>
              <w:t>主管领导：</w:t>
            </w:r>
            <w:r>
              <w:rPr>
                <w:rFonts w:hint="eastAsia" w:ascii="楷体" w:hAnsi="楷体" w:eastAsia="楷体"/>
                <w:szCs w:val="21"/>
                <w:lang w:eastAsia="zh-CN"/>
              </w:rPr>
              <w:t>赵静</w:t>
            </w:r>
            <w:r>
              <w:rPr>
                <w:rFonts w:hint="eastAsia" w:ascii="楷体" w:hAnsi="楷体" w:eastAsia="楷体"/>
                <w:szCs w:val="21"/>
                <w:lang w:val="en-US" w:eastAsia="zh-CN"/>
              </w:rPr>
              <w:t xml:space="preserve">      </w:t>
            </w:r>
            <w:r>
              <w:rPr>
                <w:rFonts w:hint="eastAsia" w:ascii="楷体" w:hAnsi="楷体" w:eastAsia="楷体"/>
                <w:szCs w:val="21"/>
              </w:rPr>
              <w:t xml:space="preserve">      陪同人：</w:t>
            </w:r>
            <w:r>
              <w:rPr>
                <w:rFonts w:hint="eastAsia" w:ascii="楷体" w:hAnsi="楷体" w:eastAsia="楷体"/>
                <w:szCs w:val="21"/>
                <w:lang w:eastAsia="zh-CN"/>
              </w:rPr>
              <w:t>张瑞春</w:t>
            </w:r>
            <w:bookmarkStart w:id="1" w:name="_GoBack"/>
            <w:bookmarkEnd w:id="1"/>
            <w:r>
              <w:rPr>
                <w:rFonts w:hint="eastAsia" w:ascii="楷体" w:hAnsi="楷体" w:eastAsia="楷体"/>
                <w:szCs w:val="21"/>
                <w:lang w:val="en-US" w:eastAsia="zh-CN"/>
              </w:rPr>
              <w:t xml:space="preserve">    </w:t>
            </w:r>
          </w:p>
        </w:tc>
        <w:tc>
          <w:tcPr>
            <w:tcW w:w="287" w:type="pct"/>
            <w:vMerge w:val="restart"/>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p>
        </w:tc>
        <w:tc>
          <w:tcPr>
            <w:tcW w:w="413" w:type="pct"/>
            <w:vMerge w:val="continue"/>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p>
        </w:tc>
        <w:tc>
          <w:tcPr>
            <w:tcW w:w="3788" w:type="pct"/>
            <w:tcBorders>
              <w:top w:val="single" w:color="auto" w:sz="4" w:space="0"/>
              <w:left w:val="single" w:color="auto" w:sz="4" w:space="0"/>
              <w:bottom w:val="single" w:color="auto" w:sz="4" w:space="0"/>
              <w:right w:val="single" w:color="auto" w:sz="4" w:space="0"/>
            </w:tcBorders>
            <w:vAlign w:val="center"/>
          </w:tcPr>
          <w:p>
            <w:pPr>
              <w:rPr>
                <w:rFonts w:hint="default" w:ascii="楷体" w:hAnsi="楷体" w:eastAsia="楷体"/>
                <w:szCs w:val="21"/>
                <w:lang w:val="en-US" w:eastAsia="zh-CN"/>
              </w:rPr>
            </w:pPr>
            <w:r>
              <w:rPr>
                <w:rFonts w:hint="eastAsia" w:ascii="楷体" w:hAnsi="楷体" w:eastAsia="楷体"/>
                <w:szCs w:val="21"/>
              </w:rPr>
              <w:t>审核员：</w:t>
            </w:r>
            <w:r>
              <w:rPr>
                <w:rFonts w:hint="eastAsia" w:ascii="楷体" w:hAnsi="楷体" w:eastAsia="楷体"/>
                <w:szCs w:val="21"/>
                <w:lang w:eastAsia="zh-CN"/>
              </w:rPr>
              <w:t>李丽英</w:t>
            </w:r>
            <w:r>
              <w:rPr>
                <w:rFonts w:hint="eastAsia" w:ascii="楷体" w:hAnsi="楷体" w:eastAsia="楷体"/>
                <w:szCs w:val="21"/>
                <w:lang w:val="en-US" w:eastAsia="zh-CN"/>
              </w:rPr>
              <w:t xml:space="preserve">    </w:t>
            </w:r>
            <w:r>
              <w:rPr>
                <w:rFonts w:ascii="楷体" w:hAnsi="楷体" w:eastAsia="楷体"/>
                <w:szCs w:val="21"/>
              </w:rPr>
              <w:t xml:space="preserve">         </w:t>
            </w:r>
            <w:r>
              <w:rPr>
                <w:rFonts w:hint="eastAsia" w:ascii="楷体" w:hAnsi="楷体" w:eastAsia="楷体"/>
                <w:szCs w:val="21"/>
              </w:rPr>
              <w:t>审核时间：</w:t>
            </w:r>
            <w:r>
              <w:rPr>
                <w:rFonts w:ascii="楷体" w:hAnsi="楷体" w:eastAsia="楷体"/>
                <w:szCs w:val="21"/>
              </w:rPr>
              <w:t>2022.</w:t>
            </w:r>
            <w:r>
              <w:rPr>
                <w:rFonts w:hint="eastAsia" w:ascii="楷体" w:hAnsi="楷体" w:eastAsia="楷体"/>
                <w:szCs w:val="21"/>
                <w:lang w:val="en-US" w:eastAsia="zh-CN"/>
              </w:rPr>
              <w:t>7.21下午-2022.7.22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p>
        </w:tc>
        <w:tc>
          <w:tcPr>
            <w:tcW w:w="413" w:type="pct"/>
            <w:vMerge w:val="continue"/>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p>
        </w:tc>
        <w:tc>
          <w:tcPr>
            <w:tcW w:w="378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sz w:val="21"/>
                <w:szCs w:val="21"/>
                <w:lang w:val="en-US" w:eastAsia="zh-CN"/>
              </w:rPr>
            </w:pPr>
            <w:r>
              <w:rPr>
                <w:rFonts w:hint="eastAsia" w:ascii="楷体" w:hAnsi="楷体" w:eastAsia="楷体"/>
                <w:szCs w:val="21"/>
              </w:rPr>
              <w:t>审核条款：</w:t>
            </w:r>
            <w:r>
              <w:rPr>
                <w:rFonts w:hint="eastAsia" w:ascii="Times New Roman" w:hAnsi="Times New Roman" w:eastAsia="宋体" w:cs="Times New Roman"/>
                <w:sz w:val="21"/>
                <w:szCs w:val="21"/>
                <w:lang w:val="en-US" w:eastAsia="zh-CN"/>
              </w:rPr>
              <w:t>Q5.3/6.2</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8.4</w:t>
            </w:r>
          </w:p>
          <w:p>
            <w:pPr>
              <w:keepNext w:val="0"/>
              <w:keepLines w:val="0"/>
              <w:pageBreakBefore w:val="0"/>
              <w:widowControl w:val="0"/>
              <w:kinsoku/>
              <w:wordWrap/>
              <w:overflowPunct/>
              <w:topLinePunct w:val="0"/>
              <w:autoSpaceDE/>
              <w:autoSpaceDN/>
              <w:bidi w:val="0"/>
              <w:spacing w:line="300" w:lineRule="exact"/>
              <w:ind w:firstLine="1050" w:firstLineChars="500"/>
              <w:jc w:val="both"/>
              <w:textAlignment w:val="auto"/>
              <w:rPr>
                <w:rFonts w:ascii="楷体" w:hAnsi="楷体" w:eastAsia="楷体"/>
                <w:szCs w:val="21"/>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eastAsia"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szCs w:val="21"/>
                <w:lang w:eastAsia="zh-CN"/>
              </w:rPr>
            </w:pPr>
            <w:r>
              <w:rPr>
                <w:rFonts w:hint="eastAsia" w:ascii="楷体" w:hAnsi="楷体" w:eastAsia="楷体"/>
                <w:szCs w:val="21"/>
                <w:lang w:eastAsia="zh-CN"/>
              </w:rPr>
              <w:t>岗位职责、权限</w:t>
            </w:r>
          </w:p>
        </w:tc>
        <w:tc>
          <w:tcPr>
            <w:tcW w:w="413" w:type="pct"/>
            <w:tcBorders>
              <w:top w:val="single" w:color="auto" w:sz="4" w:space="0"/>
              <w:left w:val="single" w:color="auto" w:sz="4" w:space="0"/>
              <w:bottom w:val="single" w:color="auto" w:sz="4" w:space="0"/>
              <w:right w:val="single" w:color="auto" w:sz="4" w:space="0"/>
            </w:tcBorders>
            <w:vAlign w:val="center"/>
          </w:tcPr>
          <w:p>
            <w:pPr>
              <w:rPr>
                <w:rFonts w:hint="default" w:ascii="楷体" w:hAnsi="楷体" w:eastAsia="楷体"/>
                <w:szCs w:val="21"/>
                <w:lang w:val="en-US"/>
              </w:rPr>
            </w:pPr>
            <w:r>
              <w:rPr>
                <w:rFonts w:hint="eastAsia" w:ascii="楷体" w:hAnsi="楷体" w:eastAsia="楷体"/>
                <w:szCs w:val="21"/>
                <w:lang w:eastAsia="zh-CN"/>
              </w:rPr>
              <w:t>QEO</w:t>
            </w:r>
            <w:r>
              <w:rPr>
                <w:rFonts w:hint="eastAsia" w:ascii="楷体" w:hAnsi="楷体" w:eastAsia="楷体"/>
                <w:szCs w:val="21"/>
                <w:lang w:val="en-US" w:eastAsia="zh-CN"/>
              </w:rPr>
              <w:t>5.3</w:t>
            </w:r>
          </w:p>
        </w:tc>
        <w:tc>
          <w:tcPr>
            <w:tcW w:w="3788" w:type="pct"/>
            <w:tcBorders>
              <w:top w:val="single" w:color="auto" w:sz="4" w:space="0"/>
              <w:left w:val="single" w:color="auto" w:sz="4" w:space="0"/>
              <w:bottom w:val="single" w:color="auto" w:sz="4" w:space="0"/>
              <w:right w:val="single" w:color="auto" w:sz="4" w:space="0"/>
            </w:tcBorders>
            <w:vAlign w:val="center"/>
          </w:tcPr>
          <w:p>
            <w:pPr>
              <w:bidi w:val="0"/>
              <w:jc w:val="left"/>
              <w:rPr>
                <w:rFonts w:hint="eastAsia" w:ascii="楷体" w:hAnsi="楷体" w:eastAsia="楷体" w:cs="Times New Roman"/>
                <w:szCs w:val="21"/>
                <w:lang w:val="zh-CN"/>
              </w:rPr>
            </w:pPr>
            <w:r>
              <w:rPr>
                <w:rFonts w:hint="eastAsia" w:ascii="楷体" w:hAnsi="楷体" w:eastAsia="楷体" w:cs="Times New Roman"/>
                <w:szCs w:val="21"/>
                <w:lang w:val="zh-CN"/>
              </w:rPr>
              <w:sym w:font="Wingdings 2" w:char="F098"/>
            </w:r>
            <w:r>
              <w:rPr>
                <w:rFonts w:hint="eastAsia" w:ascii="楷体" w:hAnsi="楷体" w:eastAsia="楷体" w:cs="Times New Roman"/>
                <w:szCs w:val="21"/>
                <w:lang w:val="zh-CN" w:eastAsia="zh-CN"/>
              </w:rPr>
              <w:t>采购部负责人：</w:t>
            </w:r>
          </w:p>
          <w:p>
            <w:pPr>
              <w:keepNext w:val="0"/>
              <w:keepLines w:val="0"/>
              <w:pageBreakBefore w:val="0"/>
              <w:widowControl w:val="0"/>
              <w:kinsoku/>
              <w:wordWrap/>
              <w:overflowPunct/>
              <w:topLinePunct w:val="0"/>
              <w:autoSpaceDE/>
              <w:autoSpaceDN/>
              <w:bidi w:val="0"/>
              <w:spacing w:line="300" w:lineRule="exact"/>
              <w:jc w:val="left"/>
              <w:textAlignment w:val="auto"/>
              <w:rPr>
                <w:rFonts w:hint="eastAsia" w:ascii="楷体" w:hAnsi="楷体" w:eastAsia="楷体" w:cs="Times New Roman"/>
                <w:szCs w:val="21"/>
                <w:lang w:val="zh-CN" w:eastAsia="zh-CN"/>
              </w:rPr>
            </w:pPr>
            <w:r>
              <w:rPr>
                <w:rFonts w:hint="eastAsia" w:ascii="楷体" w:hAnsi="楷体" w:eastAsia="楷体" w:cs="Times New Roman"/>
                <w:szCs w:val="21"/>
                <w:lang w:val="zh-CN"/>
              </w:rPr>
              <w:sym w:font="Wingdings 2" w:char="F098"/>
            </w:r>
            <w:r>
              <w:rPr>
                <w:rFonts w:hint="eastAsia" w:ascii="楷体" w:hAnsi="楷体" w:eastAsia="楷体" w:cs="Times New Roman"/>
                <w:szCs w:val="21"/>
                <w:lang w:val="zh-CN"/>
              </w:rPr>
              <w:t>采购部</w:t>
            </w:r>
            <w:r>
              <w:rPr>
                <w:rFonts w:hint="eastAsia" w:ascii="楷体" w:hAnsi="楷体" w:eastAsia="楷体" w:cs="Times New Roman"/>
                <w:szCs w:val="21"/>
                <w:lang w:val="zh-CN" w:eastAsia="zh-CN"/>
              </w:rPr>
              <w:t>主要负责：贯彻执行公司的管理方针和管理目标，落实管理手册在本部门的运行。对物资采购及过程产品、产品及服务质量进行检查和评定，标识检验和试验。负责对供方的评审，将评审结果呈报管理者代表审批，保存合格供方档案。</w:t>
            </w:r>
          </w:p>
          <w:p>
            <w:pPr>
              <w:keepNext w:val="0"/>
              <w:keepLines w:val="0"/>
              <w:pageBreakBefore w:val="0"/>
              <w:widowControl w:val="0"/>
              <w:kinsoku/>
              <w:wordWrap/>
              <w:overflowPunct/>
              <w:topLinePunct w:val="0"/>
              <w:autoSpaceDE/>
              <w:autoSpaceDN/>
              <w:bidi w:val="0"/>
              <w:spacing w:line="300" w:lineRule="exact"/>
              <w:jc w:val="left"/>
              <w:textAlignment w:val="auto"/>
              <w:rPr>
                <w:rFonts w:hint="eastAsia" w:ascii="楷体" w:hAnsi="楷体" w:eastAsia="楷体" w:cs="Times New Roman"/>
                <w:szCs w:val="21"/>
                <w:lang w:val="zh-CN" w:eastAsia="zh-CN"/>
              </w:rPr>
            </w:pPr>
            <w:r>
              <w:rPr>
                <w:rFonts w:hint="eastAsia" w:ascii="楷体" w:hAnsi="楷体" w:eastAsia="楷体" w:cs="Times New Roman"/>
                <w:szCs w:val="21"/>
                <w:lang w:val="zh-CN" w:eastAsia="zh-CN"/>
              </w:rPr>
              <w:t>负责对相关方的控制，实施绿色采购。负责本部门环境因素、危险源的识别及其控制等工作。</w:t>
            </w:r>
          </w:p>
          <w:p>
            <w:pPr>
              <w:keepNext w:val="0"/>
              <w:keepLines w:val="0"/>
              <w:pageBreakBefore w:val="0"/>
              <w:widowControl w:val="0"/>
              <w:kinsoku/>
              <w:wordWrap/>
              <w:overflowPunct/>
              <w:topLinePunct w:val="0"/>
              <w:autoSpaceDE/>
              <w:autoSpaceDN/>
              <w:bidi w:val="0"/>
              <w:spacing w:line="300" w:lineRule="exact"/>
              <w:jc w:val="left"/>
              <w:textAlignment w:val="auto"/>
              <w:rPr>
                <w:rFonts w:hint="default" w:ascii="Times New Roman" w:hAnsi="Times New Roman" w:eastAsia="宋体" w:cs="Times New Roman"/>
                <w:sz w:val="21"/>
                <w:szCs w:val="21"/>
              </w:rPr>
            </w:pPr>
            <w:r>
              <w:rPr>
                <w:rFonts w:hint="eastAsia" w:ascii="楷体" w:hAnsi="楷体" w:eastAsia="楷体"/>
                <w:szCs w:val="21"/>
                <w:lang w:eastAsia="zh-CN"/>
              </w:rPr>
              <w:t>本部门职责明确，回答基本正确。</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szCs w:val="21"/>
                <w:lang w:val="en-US" w:eastAsia="zh-CN"/>
              </w:rPr>
            </w:pPr>
            <w:r>
              <w:rPr>
                <w:rFonts w:hint="eastAsia" w:ascii="楷体" w:hAnsi="楷体" w:eastAsia="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szCs w:val="21"/>
                <w:lang w:eastAsia="zh-CN"/>
              </w:rPr>
            </w:pPr>
            <w:r>
              <w:rPr>
                <w:rFonts w:hint="eastAsia" w:ascii="楷体" w:hAnsi="楷体" w:eastAsia="楷体"/>
                <w:szCs w:val="21"/>
                <w:lang w:eastAsia="zh-CN"/>
              </w:rPr>
              <w:t>目标</w:t>
            </w:r>
          </w:p>
        </w:tc>
        <w:tc>
          <w:tcPr>
            <w:tcW w:w="413" w:type="pct"/>
            <w:tcBorders>
              <w:top w:val="single" w:color="auto" w:sz="4" w:space="0"/>
              <w:left w:val="single" w:color="auto" w:sz="4" w:space="0"/>
              <w:bottom w:val="single" w:color="auto" w:sz="4" w:space="0"/>
              <w:right w:val="single" w:color="auto" w:sz="4" w:space="0"/>
            </w:tcBorders>
            <w:vAlign w:val="center"/>
          </w:tcPr>
          <w:p>
            <w:pPr>
              <w:rPr>
                <w:rFonts w:hint="default" w:ascii="楷体" w:hAnsi="楷体" w:eastAsia="楷体"/>
                <w:szCs w:val="21"/>
                <w:lang w:val="en-US"/>
              </w:rPr>
            </w:pPr>
            <w:r>
              <w:rPr>
                <w:rFonts w:hint="eastAsia" w:ascii="楷体" w:hAnsi="楷体" w:eastAsia="楷体"/>
                <w:szCs w:val="21"/>
                <w:lang w:eastAsia="zh-CN"/>
              </w:rPr>
              <w:t>QEO</w:t>
            </w:r>
            <w:r>
              <w:rPr>
                <w:rFonts w:hint="eastAsia" w:ascii="楷体" w:hAnsi="楷体" w:eastAsia="楷体"/>
                <w:szCs w:val="21"/>
                <w:lang w:val="en-US" w:eastAsia="zh-CN"/>
              </w:rPr>
              <w:t>6.2</w:t>
            </w:r>
          </w:p>
        </w:tc>
        <w:tc>
          <w:tcPr>
            <w:tcW w:w="3788" w:type="pct"/>
            <w:tcBorders>
              <w:top w:val="single" w:color="auto" w:sz="4" w:space="0"/>
              <w:left w:val="single" w:color="auto" w:sz="4" w:space="0"/>
              <w:bottom w:val="single" w:color="auto" w:sz="4" w:space="0"/>
              <w:right w:val="single" w:color="auto" w:sz="4" w:space="0"/>
            </w:tcBorders>
            <w:vAlign w:val="center"/>
          </w:tcPr>
          <w:p>
            <w:pPr>
              <w:bidi w:val="0"/>
              <w:jc w:val="left"/>
              <w:rPr>
                <w:rFonts w:hint="default" w:eastAsia="楷体"/>
                <w:b/>
                <w:sz w:val="28"/>
                <w:szCs w:val="28"/>
                <w:lang w:val="en-US" w:eastAsia="zh-CN"/>
              </w:rPr>
            </w:pPr>
            <w:r>
              <w:rPr>
                <w:rFonts w:hint="eastAsia" w:ascii="楷体" w:hAnsi="楷体" w:eastAsia="楷体" w:cs="Times New Roman"/>
                <w:szCs w:val="21"/>
                <w:lang w:val="zh-CN"/>
              </w:rPr>
              <w:sym w:font="Wingdings 2" w:char="F098"/>
            </w:r>
            <w:r>
              <w:rPr>
                <w:rFonts w:hint="eastAsia" w:ascii="楷体" w:hAnsi="楷体" w:eastAsia="楷体"/>
                <w:szCs w:val="21"/>
                <w:lang w:val="zh-CN"/>
              </w:rPr>
              <w:t>查见《管理手册》公司管理层以公司的质量/环境/职业健康安全方针为框架，结合公司的实际运营情况，制定公司的总得管理目标，对目标进行了分解，制定了考核方法，其中采购部部门目标：</w:t>
            </w:r>
          </w:p>
          <w:tbl>
            <w:tblPr>
              <w:tblStyle w:val="13"/>
              <w:tblpPr w:leftFromText="180" w:rightFromText="180" w:vertAnchor="text" w:horzAnchor="page" w:tblpX="525" w:tblpY="39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4477"/>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00"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p>
              </w:tc>
              <w:tc>
                <w:tcPr>
                  <w:tcW w:w="4477"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目标</w:t>
                  </w:r>
                </w:p>
              </w:tc>
              <w:tc>
                <w:tcPr>
                  <w:tcW w:w="1173"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完成情况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00" w:type="dxa"/>
                  <w:vMerge w:val="restart"/>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质量</w:t>
                  </w:r>
                </w:p>
              </w:tc>
              <w:tc>
                <w:tcPr>
                  <w:tcW w:w="4477"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1. 采购产品准时到货率≥9</w:t>
                  </w:r>
                  <w:r>
                    <w:rPr>
                      <w:rFonts w:hint="eastAsia" w:ascii="楷体" w:hAnsi="楷体" w:eastAsia="楷体" w:cs="Times New Roman"/>
                      <w:kern w:val="2"/>
                      <w:sz w:val="21"/>
                      <w:szCs w:val="21"/>
                      <w:lang w:val="en-US" w:eastAsia="zh-CN" w:bidi="ar-SA"/>
                    </w:rPr>
                    <w:t>8</w:t>
                  </w:r>
                  <w:r>
                    <w:rPr>
                      <w:rFonts w:hint="eastAsia" w:ascii="楷体" w:hAnsi="楷体" w:eastAsia="楷体" w:cs="Times New Roman"/>
                      <w:kern w:val="2"/>
                      <w:sz w:val="21"/>
                      <w:szCs w:val="21"/>
                      <w:lang w:val="zh-CN" w:eastAsia="zh-CN" w:bidi="ar-SA"/>
                    </w:rPr>
                    <w:t>%</w:t>
                  </w:r>
                </w:p>
              </w:tc>
              <w:tc>
                <w:tcPr>
                  <w:tcW w:w="1173"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000" w:type="dxa"/>
                  <w:vMerge w:val="continue"/>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p>
              </w:tc>
              <w:tc>
                <w:tcPr>
                  <w:tcW w:w="4477"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2. 采购产品合格率</w:t>
                  </w:r>
                  <w:r>
                    <w:rPr>
                      <w:rFonts w:hint="eastAsia" w:ascii="楷体" w:hAnsi="楷体" w:eastAsia="楷体" w:cs="Times New Roman"/>
                      <w:kern w:val="2"/>
                      <w:sz w:val="21"/>
                      <w:szCs w:val="21"/>
                      <w:lang w:val="en-US" w:eastAsia="zh-CN" w:bidi="ar-SA"/>
                    </w:rPr>
                    <w:t>99%</w:t>
                  </w:r>
                </w:p>
              </w:tc>
              <w:tc>
                <w:tcPr>
                  <w:tcW w:w="1173"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 w:type="dxa"/>
                  <w:vMerge w:val="restart"/>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环境</w:t>
                  </w:r>
                </w:p>
                <w:p>
                  <w:pPr>
                    <w:pStyle w:val="2"/>
                    <w:ind w:left="0" w:leftChars="0" w:firstLine="0" w:firstLineChars="0"/>
                    <w:rPr>
                      <w:rFonts w:hint="eastAsia" w:ascii="楷体" w:hAnsi="楷体" w:eastAsia="楷体" w:cs="Times New Roman"/>
                      <w:kern w:val="2"/>
                      <w:sz w:val="21"/>
                      <w:szCs w:val="21"/>
                      <w:lang w:val="zh-CN" w:eastAsia="zh-CN" w:bidi="ar-SA"/>
                    </w:rPr>
                  </w:pPr>
                </w:p>
              </w:tc>
              <w:tc>
                <w:tcPr>
                  <w:tcW w:w="4477"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1.建立供方档案，对影响环境的供方施加影响</w:t>
                  </w:r>
                </w:p>
              </w:tc>
              <w:tc>
                <w:tcPr>
                  <w:tcW w:w="1173"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000" w:type="dxa"/>
                  <w:vMerge w:val="continue"/>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p>
              </w:tc>
              <w:tc>
                <w:tcPr>
                  <w:tcW w:w="4477"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2.采购环保材料及产品</w:t>
                  </w:r>
                </w:p>
              </w:tc>
              <w:tc>
                <w:tcPr>
                  <w:tcW w:w="1173"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00" w:type="dxa"/>
                  <w:vMerge w:val="continue"/>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p>
              </w:tc>
              <w:tc>
                <w:tcPr>
                  <w:tcW w:w="4477"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3.本部门废弃物分类、集中收集</w:t>
                  </w:r>
                </w:p>
              </w:tc>
              <w:tc>
                <w:tcPr>
                  <w:tcW w:w="1173"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 w:type="dxa"/>
                  <w:vMerge w:val="restart"/>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职业健康安全</w:t>
                  </w:r>
                </w:p>
              </w:tc>
              <w:tc>
                <w:tcPr>
                  <w:tcW w:w="4477"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1.建立供方档案，对供方及运输方职业健康安全宣传率≥99%</w:t>
                  </w:r>
                </w:p>
              </w:tc>
              <w:tc>
                <w:tcPr>
                  <w:tcW w:w="1173"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00" w:type="dxa"/>
                  <w:vMerge w:val="continue"/>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p>
              </w:tc>
              <w:tc>
                <w:tcPr>
                  <w:tcW w:w="4477"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2.采购物资100%符合要求，外购产品健康安全合格率100%</w:t>
                  </w:r>
                </w:p>
              </w:tc>
              <w:tc>
                <w:tcPr>
                  <w:tcW w:w="1173"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00" w:type="dxa"/>
                  <w:vMerge w:val="continue"/>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p>
              </w:tc>
              <w:tc>
                <w:tcPr>
                  <w:tcW w:w="4477"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zh-CN" w:eastAsia="zh-CN" w:bidi="ar-SA"/>
                    </w:rPr>
                    <w:t>3.无火灾事故发生</w:t>
                  </w:r>
                </w:p>
              </w:tc>
              <w:tc>
                <w:tcPr>
                  <w:tcW w:w="1173" w:type="dxa"/>
                  <w:noWrap w:val="0"/>
                  <w:vAlign w:val="center"/>
                </w:tcPr>
                <w:p>
                  <w:pPr>
                    <w:pStyle w:val="2"/>
                    <w:ind w:left="0" w:leftChars="0" w:firstLine="0" w:firstLineChars="0"/>
                    <w:rPr>
                      <w:rFonts w:hint="eastAsia" w:ascii="楷体" w:hAnsi="楷体" w:eastAsia="楷体" w:cs="Times New Roman"/>
                      <w:kern w:val="2"/>
                      <w:sz w:val="21"/>
                      <w:szCs w:val="21"/>
                      <w:lang w:val="zh-CN" w:eastAsia="zh-CN" w:bidi="ar-SA"/>
                    </w:rPr>
                  </w:pPr>
                  <w:r>
                    <w:rPr>
                      <w:rFonts w:hint="eastAsia" w:ascii="楷体" w:hAnsi="楷体" w:eastAsia="楷体" w:cs="Times New Roman"/>
                      <w:kern w:val="2"/>
                      <w:sz w:val="21"/>
                      <w:szCs w:val="21"/>
                      <w:lang w:val="en-US" w:eastAsia="zh-CN" w:bidi="ar-SA"/>
                    </w:rPr>
                    <w:t>0</w:t>
                  </w:r>
                </w:p>
              </w:tc>
            </w:tr>
          </w:tbl>
          <w:p>
            <w:pPr>
              <w:rPr>
                <w:rFonts w:hint="eastAsia" w:ascii="楷体" w:hAnsi="楷体" w:eastAsia="楷体" w:cs="Times New Roman"/>
                <w:szCs w:val="21"/>
                <w:lang w:val="zh-CN"/>
              </w:rPr>
            </w:pPr>
          </w:p>
          <w:p>
            <w:pPr>
              <w:rPr>
                <w:rFonts w:hint="eastAsia" w:ascii="楷体" w:hAnsi="楷体" w:eastAsia="楷体" w:cs="Times New Roman"/>
                <w:szCs w:val="21"/>
                <w:lang w:val="zh-CN"/>
              </w:rPr>
            </w:pPr>
          </w:p>
          <w:p>
            <w:pPr>
              <w:rPr>
                <w:rFonts w:hint="eastAsia" w:ascii="楷体" w:hAnsi="楷体" w:eastAsia="楷体" w:cs="Times New Roman"/>
                <w:szCs w:val="21"/>
                <w:lang w:val="zh-CN"/>
              </w:rPr>
            </w:pPr>
          </w:p>
          <w:p>
            <w:pPr>
              <w:rPr>
                <w:rFonts w:hint="eastAsia" w:ascii="楷体" w:hAnsi="楷体" w:eastAsia="楷体" w:cs="Times New Roman"/>
                <w:szCs w:val="21"/>
                <w:lang w:val="zh-CN"/>
              </w:rPr>
            </w:pPr>
          </w:p>
          <w:p>
            <w:pPr>
              <w:rPr>
                <w:rFonts w:hint="eastAsia" w:ascii="楷体" w:hAnsi="楷体" w:eastAsia="楷体" w:cs="Times New Roman"/>
                <w:szCs w:val="21"/>
                <w:lang w:val="zh-CN"/>
              </w:rPr>
            </w:pPr>
          </w:p>
          <w:p>
            <w:pPr>
              <w:rPr>
                <w:rFonts w:hint="eastAsia" w:ascii="楷体" w:hAnsi="楷体" w:eastAsia="楷体" w:cs="Times New Roman"/>
                <w:szCs w:val="21"/>
                <w:lang w:val="zh-CN"/>
              </w:rPr>
            </w:pPr>
          </w:p>
          <w:p>
            <w:pPr>
              <w:rPr>
                <w:rFonts w:hint="eastAsia" w:ascii="楷体" w:hAnsi="楷体" w:eastAsia="楷体" w:cs="Times New Roman"/>
                <w:szCs w:val="21"/>
                <w:lang w:val="zh-CN"/>
              </w:rPr>
            </w:pPr>
          </w:p>
          <w:p>
            <w:pPr>
              <w:rPr>
                <w:rFonts w:hint="eastAsia" w:ascii="楷体" w:hAnsi="楷体" w:eastAsia="楷体" w:cs="Times New Roman"/>
                <w:szCs w:val="21"/>
                <w:lang w:val="zh-CN"/>
              </w:rPr>
            </w:pPr>
          </w:p>
          <w:p>
            <w:pPr>
              <w:rPr>
                <w:rFonts w:hint="eastAsia" w:ascii="楷体" w:hAnsi="楷体" w:eastAsia="楷体" w:cs="Times New Roman"/>
                <w:szCs w:val="21"/>
                <w:lang w:val="zh-CN"/>
              </w:rPr>
            </w:pPr>
          </w:p>
          <w:p>
            <w:pPr>
              <w:rPr>
                <w:rFonts w:hint="eastAsia" w:ascii="楷体" w:hAnsi="楷体" w:eastAsia="楷体" w:cs="Times New Roman"/>
                <w:szCs w:val="21"/>
                <w:lang w:val="zh-CN"/>
              </w:rPr>
            </w:pPr>
          </w:p>
          <w:p>
            <w:pPr>
              <w:rPr>
                <w:rFonts w:hint="eastAsia" w:ascii="楷体" w:hAnsi="楷体" w:eastAsia="楷体" w:cs="Times New Roman"/>
                <w:szCs w:val="21"/>
                <w:lang w:val="zh-CN"/>
              </w:rPr>
            </w:pPr>
          </w:p>
          <w:p>
            <w:pPr>
              <w:rPr>
                <w:rFonts w:hint="eastAsia" w:ascii="楷体" w:hAnsi="楷体" w:eastAsia="楷体" w:cs="Times New Roman"/>
                <w:szCs w:val="21"/>
                <w:lang w:val="zh-CN"/>
              </w:rPr>
            </w:pPr>
          </w:p>
          <w:p>
            <w:pPr>
              <w:rPr>
                <w:rFonts w:hint="eastAsia" w:ascii="楷体" w:hAnsi="楷体" w:eastAsia="楷体" w:cs="Times New Roman"/>
                <w:szCs w:val="21"/>
                <w:lang w:val="zh-CN"/>
              </w:rPr>
            </w:pPr>
          </w:p>
          <w:p>
            <w:pPr>
              <w:rPr>
                <w:rFonts w:hint="eastAsia" w:ascii="楷体" w:hAnsi="楷体" w:eastAsia="楷体" w:cs="Times New Roman"/>
                <w:szCs w:val="21"/>
                <w:lang w:val="zh-CN"/>
              </w:rPr>
            </w:pPr>
          </w:p>
          <w:p>
            <w:pPr>
              <w:rPr>
                <w:rFonts w:hint="default" w:ascii="楷体" w:hAnsi="楷体" w:eastAsia="楷体" w:cs="Times New Roman"/>
                <w:szCs w:val="21"/>
                <w:lang w:val="en-US" w:eastAsia="zh-CN"/>
              </w:rPr>
            </w:pPr>
            <w:r>
              <w:rPr>
                <w:rFonts w:hint="eastAsia" w:ascii="楷体" w:hAnsi="楷体" w:eastAsia="楷体" w:cs="Times New Roman"/>
                <w:szCs w:val="21"/>
                <w:lang w:val="zh-CN"/>
              </w:rPr>
              <w:t>考核人：马晓菲，</w:t>
            </w:r>
            <w:r>
              <w:rPr>
                <w:rFonts w:hint="eastAsia" w:ascii="楷体" w:hAnsi="楷体" w:eastAsia="楷体" w:cs="Times New Roman"/>
                <w:szCs w:val="21"/>
                <w:lang w:val="en-US" w:eastAsia="zh-CN"/>
              </w:rPr>
              <w:t>2022.7.2</w:t>
            </w:r>
          </w:p>
          <w:p>
            <w:pPr>
              <w:rPr>
                <w:rFonts w:hint="eastAsia" w:ascii="楷体" w:hAnsi="楷体" w:eastAsia="楷体" w:cs="Times New Roman"/>
                <w:szCs w:val="21"/>
                <w:lang w:val="zh-CN"/>
              </w:rPr>
            </w:pPr>
            <w:r>
              <w:rPr>
                <w:rFonts w:hint="eastAsia" w:ascii="楷体" w:hAnsi="楷体" w:eastAsia="楷体" w:cs="Times New Roman"/>
                <w:szCs w:val="21"/>
                <w:lang w:val="zh-CN"/>
              </w:rPr>
              <w:sym w:font="Wingdings 2" w:char="F098"/>
            </w:r>
            <w:r>
              <w:rPr>
                <w:rFonts w:hint="eastAsia" w:ascii="楷体" w:hAnsi="楷体" w:eastAsia="楷体" w:cs="Times New Roman"/>
                <w:szCs w:val="21"/>
                <w:lang w:val="zh-CN"/>
              </w:rPr>
              <w:t>查管理方案实施情况：</w:t>
            </w:r>
          </w:p>
          <w:p>
            <w:pPr>
              <w:pStyle w:val="2"/>
              <w:ind w:left="0" w:leftChars="0" w:firstLine="0" w:firstLineChars="0"/>
              <w:rPr>
                <w:rFonts w:hint="eastAsia" w:ascii="楷体" w:hAnsi="楷体" w:eastAsia="楷体" w:cs="Times New Roman"/>
                <w:kern w:val="2"/>
                <w:sz w:val="21"/>
                <w:szCs w:val="21"/>
                <w:lang w:val="en-US" w:eastAsia="zh-CN" w:bidi="ar-SA"/>
              </w:rPr>
            </w:pPr>
            <w:r>
              <w:rPr>
                <w:rFonts w:hint="eastAsia" w:ascii="楷体" w:hAnsi="楷体" w:eastAsia="楷体" w:cs="Times New Roman"/>
                <w:kern w:val="2"/>
                <w:sz w:val="21"/>
                <w:szCs w:val="21"/>
                <w:lang w:val="en-US" w:eastAsia="zh-CN" w:bidi="ar-SA"/>
              </w:rPr>
              <w:t>目标指标-</w:t>
            </w:r>
            <w:r>
              <w:rPr>
                <w:rFonts w:hint="eastAsia" w:ascii="楷体" w:hAnsi="楷体" w:eastAsia="楷体" w:cs="Times New Roman"/>
                <w:kern w:val="2"/>
                <w:sz w:val="21"/>
                <w:szCs w:val="21"/>
                <w:lang w:val="zh-CN" w:eastAsia="zh-CN" w:bidi="ar-SA"/>
              </w:rPr>
              <w:t>固废分类存放统一处理率100%，制定了管理方案，同销售部</w:t>
            </w:r>
            <w:r>
              <w:rPr>
                <w:rFonts w:hint="eastAsia" w:ascii="楷体" w:hAnsi="楷体" w:eastAsia="楷体" w:cs="Times New Roman"/>
                <w:kern w:val="2"/>
                <w:sz w:val="21"/>
                <w:szCs w:val="21"/>
                <w:lang w:val="en-US" w:eastAsia="zh-CN" w:bidi="ar-SA"/>
              </w:rPr>
              <w:t>。</w:t>
            </w:r>
          </w:p>
          <w:p>
            <w:pPr>
              <w:pStyle w:val="2"/>
              <w:ind w:left="0" w:leftChars="0" w:firstLine="0" w:firstLineChars="0"/>
              <w:rPr>
                <w:rFonts w:hint="default" w:ascii="楷体" w:hAnsi="楷体" w:eastAsia="楷体" w:cs="Times New Roman"/>
                <w:kern w:val="2"/>
                <w:sz w:val="21"/>
                <w:szCs w:val="21"/>
                <w:lang w:val="en-US" w:eastAsia="zh-CN" w:bidi="ar-SA"/>
              </w:rPr>
            </w:pPr>
            <w:r>
              <w:rPr>
                <w:rFonts w:hint="eastAsia" w:ascii="楷体" w:hAnsi="楷体" w:eastAsia="楷体" w:cs="Times New Roman"/>
                <w:kern w:val="2"/>
                <w:sz w:val="21"/>
                <w:szCs w:val="21"/>
                <w:lang w:val="en-US" w:eastAsia="zh-CN" w:bidi="ar-SA"/>
              </w:rPr>
              <w:t>另查目标指标-工伤事故为0，制定了管理方案，有实际实施情况和费用投入情况。</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rPr>
            </w:pPr>
            <w:r>
              <w:rPr>
                <w:rFonts w:hint="eastAsia" w:ascii="楷体" w:hAnsi="楷体" w:eastAsia="楷体" w:cs="Times New Roman"/>
                <w:szCs w:val="21"/>
                <w:lang w:eastAsia="zh-CN"/>
              </w:rPr>
              <w:t>环境、安全</w:t>
            </w:r>
            <w:r>
              <w:rPr>
                <w:rFonts w:hint="eastAsia" w:ascii="楷体" w:hAnsi="楷体" w:eastAsia="楷体" w:cs="Times New Roman"/>
                <w:szCs w:val="21"/>
              </w:rPr>
              <w:t>目标</w:t>
            </w:r>
            <w:r>
              <w:rPr>
                <w:rFonts w:hint="eastAsia" w:ascii="楷体" w:hAnsi="楷体" w:eastAsia="楷体" w:cs="Times New Roman"/>
                <w:szCs w:val="21"/>
                <w:lang w:eastAsia="zh-CN"/>
              </w:rPr>
              <w:t>指标</w:t>
            </w:r>
            <w:r>
              <w:rPr>
                <w:rFonts w:hint="eastAsia" w:ascii="楷体" w:hAnsi="楷体" w:eastAsia="楷体" w:cs="Times New Roman"/>
                <w:szCs w:val="21"/>
              </w:rPr>
              <w:t>制定了管理</w:t>
            </w:r>
            <w:r>
              <w:rPr>
                <w:rFonts w:hint="eastAsia" w:ascii="楷体" w:hAnsi="楷体" w:eastAsia="楷体"/>
                <w:szCs w:val="21"/>
              </w:rPr>
              <w:t>方案，落实了相应的控制措施、负责人、完成时间等。</w:t>
            </w:r>
            <w:r>
              <w:rPr>
                <w:rFonts w:hint="eastAsia" w:ascii="楷体" w:hAnsi="楷体" w:eastAsia="楷体"/>
                <w:szCs w:val="21"/>
                <w:lang w:eastAsia="zh-CN"/>
              </w:rPr>
              <w:t>符合要求。</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szCs w:val="21"/>
                <w:lang w:val="en-US" w:eastAsia="zh-CN"/>
              </w:rPr>
            </w:pPr>
            <w:r>
              <w:rPr>
                <w:rFonts w:hint="eastAsia" w:ascii="楷体" w:hAnsi="楷体" w:eastAsia="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szCs w:val="21"/>
                <w:lang w:eastAsia="zh-CN"/>
              </w:rPr>
            </w:pPr>
            <w:r>
              <w:rPr>
                <w:rFonts w:hint="eastAsia" w:ascii="楷体" w:hAnsi="楷体" w:eastAsia="楷体"/>
                <w:szCs w:val="21"/>
                <w:lang w:eastAsia="zh-CN"/>
              </w:rPr>
              <w:t>环境因素、危险源</w:t>
            </w:r>
          </w:p>
        </w:tc>
        <w:tc>
          <w:tcPr>
            <w:tcW w:w="413" w:type="pct"/>
            <w:tcBorders>
              <w:top w:val="single" w:color="auto" w:sz="4" w:space="0"/>
              <w:left w:val="single" w:color="auto" w:sz="4" w:space="0"/>
              <w:bottom w:val="single" w:color="auto" w:sz="4" w:space="0"/>
              <w:right w:val="single" w:color="auto" w:sz="4" w:space="0"/>
            </w:tcBorders>
            <w:vAlign w:val="center"/>
          </w:tcPr>
          <w:p>
            <w:pPr>
              <w:rPr>
                <w:rFonts w:hint="default" w:ascii="楷体" w:hAnsi="楷体" w:eastAsia="楷体"/>
                <w:szCs w:val="21"/>
                <w:lang w:val="en-US" w:eastAsia="zh-CN"/>
              </w:rPr>
            </w:pPr>
            <w:r>
              <w:rPr>
                <w:rFonts w:hint="eastAsia" w:ascii="楷体" w:hAnsi="楷体" w:eastAsia="楷体"/>
                <w:szCs w:val="21"/>
                <w:lang w:val="en-US" w:eastAsia="zh-CN"/>
              </w:rPr>
              <w:t>EO6.1.2</w:t>
            </w:r>
          </w:p>
        </w:tc>
        <w:tc>
          <w:tcPr>
            <w:tcW w:w="3788" w:type="pct"/>
            <w:tcBorders>
              <w:top w:val="single" w:color="auto" w:sz="4" w:space="0"/>
              <w:left w:val="single" w:color="auto" w:sz="4" w:space="0"/>
              <w:bottom w:val="single" w:color="auto" w:sz="4" w:space="0"/>
              <w:right w:val="single" w:color="auto" w:sz="4" w:space="0"/>
            </w:tcBorders>
            <w:vAlign w:val="center"/>
          </w:tcPr>
          <w:p>
            <w:pPr>
              <w:tabs>
                <w:tab w:val="left" w:pos="1825"/>
              </w:tabs>
              <w:jc w:val="left"/>
              <w:rPr>
                <w:rFonts w:hint="eastAsia" w:ascii="楷体" w:hAnsi="楷体" w:eastAsia="楷体" w:cs="Times New Roman"/>
                <w:szCs w:val="21"/>
                <w:lang w:val="en-US" w:eastAsia="zh-CN"/>
              </w:rPr>
            </w:pPr>
            <w:r>
              <w:rPr>
                <w:rFonts w:hint="eastAsia" w:ascii="Times New Roman" w:hAnsi="Times New Roman" w:eastAsia="宋体" w:cs="Times New Roman"/>
                <w:sz w:val="24"/>
                <w:szCs w:val="24"/>
              </w:rPr>
              <w:sym w:font="Wingdings 2" w:char="F098"/>
            </w:r>
            <w:r>
              <w:rPr>
                <w:rFonts w:hint="eastAsia" w:ascii="楷体" w:hAnsi="楷体" w:eastAsia="楷体" w:cs="Times New Roman"/>
                <w:szCs w:val="21"/>
                <w:lang w:val="en-US" w:eastAsia="zh-CN"/>
              </w:rPr>
              <w:t>查企业编制了《环境因素识别与评价控制程序》《危险源辩识与风险评价控制程序》，用于识别和控制与各过程相关的环境因素和危险源，并确定重要环境因素，不可接受风险及控制办法。</w:t>
            </w:r>
          </w:p>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sym w:font="Wingdings 2" w:char="F098"/>
            </w:r>
            <w:r>
              <w:rPr>
                <w:rFonts w:hint="eastAsia" w:ascii="楷体" w:hAnsi="楷体" w:eastAsia="楷体" w:cs="Times New Roman"/>
                <w:szCs w:val="21"/>
                <w:lang w:val="en-US" w:eastAsia="zh-CN"/>
              </w:rPr>
              <w:t>提供了《环境因素识别评价表》，采购部识别出环境因素主要包括：进货检验不合格品的废弃、汽车噪声排放、汽车尾气排放、办公过程的电脑使用、空调室的能源消耗，生活用水的消耗、电源线路老化、漏电或其他原因导致火灾的发生、生活废水、生活垃圾的产生、灯管废弃等；</w:t>
            </w:r>
          </w:p>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识别并编制了《重要环境因素清单》重要环境因素：固废排放，火灾。</w:t>
            </w:r>
          </w:p>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sym w:font="Wingdings 2" w:char="F098"/>
            </w:r>
            <w:r>
              <w:rPr>
                <w:rFonts w:hint="eastAsia" w:ascii="楷体" w:hAnsi="楷体" w:eastAsia="楷体" w:cs="Times New Roman"/>
                <w:szCs w:val="21"/>
                <w:lang w:val="en-US" w:eastAsia="zh-CN"/>
              </w:rPr>
              <w:t>提供《危险源辨识评价表》，采购部识别出危险源主要包括：触电危险、电气火灾、驾驶外出的交通风险、办公过程的烫伤、滑倒摔伤、采购检验过程设备不合格造成触电等的风险，采用LEC定量评价法评估出不可接受风险，编制了《重大危险源清单》，不可接受风险为：火灾、触电、重大交通事故。</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rPr>
            </w:pPr>
            <w:r>
              <w:rPr>
                <w:rFonts w:hint="eastAsia" w:ascii="楷体" w:hAnsi="楷体" w:eastAsia="楷体" w:cs="Times New Roman"/>
                <w:szCs w:val="21"/>
                <w:lang w:val="en-US" w:eastAsia="zh-CN"/>
              </w:rPr>
              <w:t>对识别出的重要环境因素和不可接受风险，均制定了相应的管理措施如废弃物管理办法、应急预案、培训、演练、设备操作规程、定期检查等。</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szCs w:val="21"/>
                <w:lang w:val="en-US" w:eastAsia="zh-CN"/>
              </w:rPr>
            </w:pPr>
            <w:r>
              <w:rPr>
                <w:rFonts w:hint="eastAsia" w:ascii="楷体" w:hAnsi="楷体" w:eastAsia="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1" w:type="pct"/>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r>
              <w:rPr>
                <w:rFonts w:hint="eastAsia" w:ascii="楷体" w:hAnsi="楷体" w:eastAsia="楷体"/>
                <w:szCs w:val="21"/>
              </w:rPr>
              <w:t>外部提供的过程、产品和服务的控制</w:t>
            </w:r>
          </w:p>
        </w:tc>
        <w:tc>
          <w:tcPr>
            <w:tcW w:w="413" w:type="pct"/>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r>
              <w:rPr>
                <w:rFonts w:hint="eastAsia" w:ascii="楷体" w:hAnsi="楷体" w:eastAsia="楷体"/>
                <w:szCs w:val="21"/>
                <w:lang w:eastAsia="zh-CN"/>
              </w:rPr>
              <w:t>QEO</w:t>
            </w:r>
            <w:r>
              <w:rPr>
                <w:rFonts w:ascii="楷体" w:hAnsi="楷体" w:eastAsia="楷体"/>
                <w:szCs w:val="21"/>
              </w:rPr>
              <w:t>8.4</w:t>
            </w:r>
          </w:p>
        </w:tc>
        <w:tc>
          <w:tcPr>
            <w:tcW w:w="3788" w:type="pct"/>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Times New Roman"/>
                <w:szCs w:val="21"/>
                <w:lang w:val="en-US" w:eastAsia="zh-CN"/>
              </w:rPr>
            </w:pPr>
            <w:r>
              <w:rPr>
                <w:rFonts w:hint="eastAsia"/>
                <w:lang w:eastAsia="zh-CN"/>
              </w:rPr>
              <w:sym w:font="Wingdings 2" w:char="F098"/>
            </w:r>
            <w:r>
              <w:rPr>
                <w:rFonts w:hint="eastAsia" w:ascii="楷体" w:hAnsi="楷体" w:eastAsia="楷体" w:cs="Times New Roman"/>
                <w:szCs w:val="21"/>
                <w:lang w:eastAsia="zh-CN"/>
              </w:rPr>
              <w:t>采购依据《外部提供产品、服务和过程控制程序》等制度进行控制，企业由生产转型，目前销售产品为存货，</w:t>
            </w:r>
            <w:r>
              <w:rPr>
                <w:rFonts w:hint="eastAsia" w:ascii="楷体" w:hAnsi="楷体" w:eastAsia="楷体" w:cs="Times New Roman"/>
                <w:szCs w:val="21"/>
                <w:lang w:val="en-US" w:eastAsia="zh-CN"/>
              </w:rPr>
              <w:t>主要是：储热式电采暖器、固体储热常压电锅炉；</w:t>
            </w:r>
          </w:p>
          <w:p>
            <w:pPr>
              <w:rPr>
                <w:rFonts w:hint="eastAsia" w:ascii="楷体" w:hAnsi="楷体" w:eastAsia="楷体" w:cs="Times New Roman"/>
                <w:szCs w:val="21"/>
                <w:lang w:eastAsia="zh-CN"/>
              </w:rPr>
            </w:pPr>
            <w:r>
              <w:rPr>
                <w:rFonts w:hint="eastAsia" w:ascii="楷体" w:hAnsi="楷体" w:eastAsia="楷体" w:cs="Times New Roman"/>
                <w:szCs w:val="21"/>
                <w:lang w:eastAsia="zh-CN"/>
              </w:rPr>
              <w:sym w:font="Wingdings 2" w:char="F098"/>
            </w:r>
            <w:r>
              <w:rPr>
                <w:rFonts w:hint="eastAsia" w:ascii="楷体" w:hAnsi="楷体" w:eastAsia="楷体" w:cs="Times New Roman"/>
                <w:szCs w:val="21"/>
                <w:lang w:val="en-US" w:eastAsia="zh-CN"/>
              </w:rPr>
              <w:t>对物</w:t>
            </w:r>
            <w:r>
              <w:rPr>
                <w:rFonts w:hint="eastAsia" w:ascii="楷体" w:hAnsi="楷体" w:eastAsia="楷体" w:cs="Times New Roman"/>
                <w:szCs w:val="21"/>
                <w:lang w:eastAsia="zh-CN"/>
              </w:rPr>
              <w:t>资供应商定期进行合格供方评价，内容包括：资质、生产情况、设备情况、产品供应能力、社会信誉等内容。经由总经理确认后，纳入公司合格供方。</w:t>
            </w:r>
          </w:p>
          <w:p>
            <w:pPr>
              <w:rPr>
                <w:rFonts w:hint="eastAsia" w:ascii="楷体" w:hAnsi="楷体" w:eastAsia="楷体" w:cs="Times New Roman"/>
                <w:szCs w:val="21"/>
                <w:lang w:eastAsia="zh-CN"/>
              </w:rPr>
            </w:pPr>
            <w:r>
              <w:rPr>
                <w:rFonts w:hint="eastAsia" w:ascii="楷体" w:hAnsi="楷体" w:eastAsia="楷体" w:cs="Times New Roman"/>
                <w:szCs w:val="21"/>
                <w:lang w:eastAsia="zh-CN"/>
              </w:rPr>
              <w:t xml:space="preserve">提供有《合格供方名单》， </w:t>
            </w:r>
          </w:p>
          <w:p>
            <w:pPr>
              <w:rPr>
                <w:rFonts w:hint="eastAsia" w:ascii="楷体" w:hAnsi="楷体" w:eastAsia="楷体" w:cs="Times New Roman"/>
                <w:szCs w:val="21"/>
                <w:lang w:eastAsia="zh-CN"/>
              </w:rPr>
            </w:pPr>
            <w:r>
              <w:rPr>
                <w:rFonts w:hint="eastAsia" w:ascii="楷体" w:hAnsi="楷体" w:eastAsia="楷体" w:cs="Times New Roman"/>
                <w:szCs w:val="21"/>
                <w:lang w:eastAsia="zh-CN"/>
              </w:rPr>
              <w:t>供方名称                                 供应产品名称</w:t>
            </w:r>
          </w:p>
          <w:p>
            <w:pPr>
              <w:rPr>
                <w:rFonts w:hint="eastAsia" w:ascii="楷体" w:hAnsi="楷体" w:eastAsia="楷体" w:cs="Times New Roman"/>
                <w:szCs w:val="21"/>
                <w:lang w:eastAsia="zh-CN"/>
              </w:rPr>
            </w:pPr>
            <w:r>
              <w:rPr>
                <w:rFonts w:hint="eastAsia" w:ascii="楷体" w:hAnsi="楷体" w:eastAsia="楷体" w:cs="Times New Roman"/>
                <w:szCs w:val="21"/>
                <w:lang w:eastAsia="zh-CN"/>
              </w:rPr>
              <w:t>安徽苏立科技股份有限公司</w:t>
            </w:r>
            <w:r>
              <w:rPr>
                <w:rFonts w:hint="eastAsia" w:ascii="楷体" w:hAnsi="楷体" w:eastAsia="楷体" w:cs="Times New Roman"/>
                <w:szCs w:val="21"/>
                <w:lang w:eastAsia="zh-CN"/>
              </w:rPr>
              <w:tab/>
            </w:r>
            <w:r>
              <w:rPr>
                <w:rFonts w:hint="eastAsia" w:ascii="楷体" w:hAnsi="楷体" w:eastAsia="楷体" w:cs="Times New Roman"/>
                <w:szCs w:val="21"/>
                <w:lang w:val="en-US" w:eastAsia="zh-CN"/>
              </w:rPr>
              <w:t xml:space="preserve">             </w:t>
            </w:r>
            <w:r>
              <w:rPr>
                <w:rFonts w:hint="eastAsia" w:ascii="楷体" w:hAnsi="楷体" w:eastAsia="楷体" w:cs="Times New Roman"/>
                <w:szCs w:val="21"/>
                <w:lang w:eastAsia="zh-CN"/>
              </w:rPr>
              <w:t>蓄热式电锅炉</w:t>
            </w:r>
          </w:p>
          <w:p>
            <w:pPr>
              <w:rPr>
                <w:rFonts w:hint="eastAsia" w:ascii="楷体" w:hAnsi="楷体" w:eastAsia="楷体" w:cs="Times New Roman"/>
                <w:szCs w:val="21"/>
                <w:lang w:eastAsia="zh-CN"/>
              </w:rPr>
            </w:pPr>
            <w:r>
              <w:rPr>
                <w:rFonts w:hint="eastAsia" w:ascii="楷体" w:hAnsi="楷体" w:eastAsia="楷体" w:cs="Times New Roman"/>
                <w:szCs w:val="21"/>
                <w:lang w:eastAsia="zh-CN"/>
              </w:rPr>
              <w:t>沧州敖硕机电设备有限公司</w:t>
            </w:r>
            <w:r>
              <w:rPr>
                <w:rFonts w:hint="eastAsia" w:ascii="楷体" w:hAnsi="楷体" w:eastAsia="楷体" w:cs="Times New Roman"/>
                <w:szCs w:val="21"/>
                <w:lang w:eastAsia="zh-CN"/>
              </w:rPr>
              <w:tab/>
            </w:r>
            <w:r>
              <w:rPr>
                <w:rFonts w:hint="eastAsia" w:ascii="楷体" w:hAnsi="楷体" w:eastAsia="楷体" w:cs="Times New Roman"/>
                <w:szCs w:val="21"/>
                <w:lang w:val="en-US" w:eastAsia="zh-CN"/>
              </w:rPr>
              <w:t xml:space="preserve">             </w:t>
            </w:r>
            <w:r>
              <w:rPr>
                <w:rFonts w:hint="eastAsia" w:ascii="楷体" w:hAnsi="楷体" w:eastAsia="楷体" w:cs="Times New Roman"/>
                <w:szCs w:val="21"/>
                <w:lang w:eastAsia="zh-CN"/>
              </w:rPr>
              <w:t>蓄热电暖器</w:t>
            </w:r>
          </w:p>
          <w:p>
            <w:pPr>
              <w:rPr>
                <w:rFonts w:hint="eastAsia" w:ascii="楷体" w:hAnsi="楷体" w:eastAsia="楷体" w:cs="Times New Roman"/>
                <w:szCs w:val="21"/>
                <w:lang w:eastAsia="zh-CN"/>
              </w:rPr>
            </w:pPr>
            <w:r>
              <w:rPr>
                <w:rFonts w:hint="eastAsia" w:ascii="楷体" w:hAnsi="楷体" w:eastAsia="楷体" w:cs="Times New Roman"/>
                <w:szCs w:val="21"/>
                <w:lang w:eastAsia="zh-CN"/>
              </w:rPr>
              <w:t>上海安能聚创供应链管理有限公司</w:t>
            </w:r>
            <w:r>
              <w:rPr>
                <w:rFonts w:hint="eastAsia" w:ascii="楷体" w:hAnsi="楷体" w:eastAsia="楷体" w:cs="Times New Roman"/>
                <w:szCs w:val="21"/>
                <w:lang w:eastAsia="zh-CN"/>
              </w:rPr>
              <w:tab/>
            </w:r>
            <w:r>
              <w:rPr>
                <w:rFonts w:hint="eastAsia" w:ascii="楷体" w:hAnsi="楷体" w:eastAsia="楷体" w:cs="Times New Roman"/>
                <w:szCs w:val="21"/>
                <w:lang w:val="en-US" w:eastAsia="zh-CN"/>
              </w:rPr>
              <w:t xml:space="preserve">         </w:t>
            </w:r>
            <w:r>
              <w:rPr>
                <w:rFonts w:hint="eastAsia" w:ascii="楷体" w:hAnsi="楷体" w:eastAsia="楷体" w:cs="Times New Roman"/>
                <w:szCs w:val="21"/>
                <w:lang w:eastAsia="zh-CN"/>
              </w:rPr>
              <w:t>产品运输</w:t>
            </w:r>
          </w:p>
          <w:p>
            <w:pPr>
              <w:rPr>
                <w:rFonts w:hint="eastAsia" w:ascii="楷体" w:hAnsi="楷体" w:eastAsia="楷体" w:cs="Times New Roman"/>
                <w:szCs w:val="21"/>
                <w:lang w:eastAsia="zh-CN"/>
              </w:rPr>
            </w:pPr>
            <w:r>
              <w:rPr>
                <w:rFonts w:hint="eastAsia" w:ascii="楷体" w:hAnsi="楷体" w:eastAsia="楷体" w:cs="Times New Roman"/>
                <w:szCs w:val="21"/>
                <w:lang w:eastAsia="zh-CN"/>
              </w:rPr>
              <w:t>。。。。。</w:t>
            </w:r>
          </w:p>
          <w:p>
            <w:pPr>
              <w:rPr>
                <w:rFonts w:hint="eastAsia" w:ascii="楷体" w:hAnsi="楷体" w:eastAsia="楷体" w:cs="Times New Roman"/>
                <w:szCs w:val="21"/>
                <w:lang w:val="en-US" w:eastAsia="zh-CN"/>
              </w:rPr>
            </w:pPr>
            <w:r>
              <w:rPr>
                <w:rFonts w:hint="eastAsia" w:ascii="楷体" w:hAnsi="楷体" w:eastAsia="楷体" w:cs="Times New Roman"/>
                <w:szCs w:val="21"/>
                <w:lang w:eastAsia="zh-CN"/>
              </w:rPr>
              <w:t>提供了《供方评审记录表》，对上述供方进行了评审，评审结论：可以列入合格供方。确认人：赵静、马晓菲、武翠、贾卫华，日期：</w:t>
            </w:r>
            <w:r>
              <w:rPr>
                <w:rFonts w:hint="eastAsia" w:ascii="楷体" w:hAnsi="楷体" w:eastAsia="楷体" w:cs="Times New Roman"/>
                <w:szCs w:val="21"/>
                <w:lang w:val="en-US" w:eastAsia="zh-CN"/>
              </w:rPr>
              <w:t>2022年1月10日。</w:t>
            </w:r>
            <w:r>
              <w:rPr>
                <w:rFonts w:hint="eastAsia" w:ascii="楷体" w:hAnsi="楷体" w:eastAsia="楷体" w:cs="Times New Roman"/>
                <w:szCs w:val="21"/>
                <w:lang w:eastAsia="zh-CN"/>
              </w:rPr>
              <w:t>收集了供方的营业执照、生产资质等信息。</w:t>
            </w:r>
          </w:p>
          <w:p>
            <w:pPr>
              <w:rPr>
                <w:rFonts w:hint="eastAsia" w:ascii="楷体" w:hAnsi="楷体" w:eastAsia="楷体" w:cs="Times New Roman"/>
                <w:szCs w:val="21"/>
                <w:lang w:eastAsia="zh-CN"/>
              </w:rPr>
            </w:pPr>
            <w:r>
              <w:rPr>
                <w:rFonts w:hint="eastAsia" w:ascii="楷体" w:hAnsi="楷体" w:eastAsia="楷体" w:cs="Times New Roman"/>
                <w:szCs w:val="21"/>
                <w:lang w:eastAsia="zh-CN"/>
              </w:rPr>
              <w:t>本公司产品运输交物流公司负责，对外包方的控制主要通过供方评审，签订合同，送货单客户签收后结算等方式。</w:t>
            </w:r>
            <w:r>
              <w:rPr>
                <w:rFonts w:hint="eastAsia" w:ascii="楷体" w:hAnsi="楷体" w:eastAsia="楷体" w:cs="Times New Roman"/>
                <w:szCs w:val="21"/>
                <w:lang w:val="en-US" w:eastAsia="zh-CN"/>
              </w:rPr>
              <w:t>物流运输至甲方指定地点后，客户验收合格后签字回传。</w:t>
            </w:r>
          </w:p>
          <w:p>
            <w:pPr>
              <w:rPr>
                <w:rFonts w:hint="eastAsia" w:ascii="楷体" w:hAnsi="楷体" w:eastAsia="楷体" w:cs="Times New Roman"/>
                <w:szCs w:val="21"/>
                <w:lang w:eastAsia="zh-CN"/>
              </w:rPr>
            </w:pPr>
            <w:r>
              <w:rPr>
                <w:rFonts w:hint="eastAsia" w:ascii="楷体" w:hAnsi="楷体" w:eastAsia="楷体" w:cs="Times New Roman"/>
                <w:szCs w:val="21"/>
                <w:lang w:eastAsia="zh-CN"/>
              </w:rPr>
              <w:t>本公司需求物资的采购信息由采购部负责，通过签订书面采购合同方式向合格供方进行产品采购。采购合同依据销售内容，明确了产品规格型号，数量，交货日期，违约责任等，有双方签字盖章</w:t>
            </w:r>
          </w:p>
          <w:p>
            <w:pPr>
              <w:rPr>
                <w:rFonts w:hint="eastAsia" w:ascii="楷体" w:hAnsi="楷体" w:eastAsia="楷体" w:cs="Times New Roman"/>
                <w:color w:val="000000"/>
                <w:szCs w:val="21"/>
                <w:lang w:val="en-US" w:eastAsia="zh-CN"/>
              </w:rPr>
            </w:pPr>
            <w:r>
              <w:rPr>
                <w:rFonts w:hint="eastAsia" w:ascii="楷体" w:hAnsi="楷体" w:eastAsia="楷体" w:cs="Times New Roman"/>
                <w:color w:val="000000"/>
                <w:szCs w:val="21"/>
                <w:lang w:val="en-US" w:eastAsia="zh-CN"/>
              </w:rPr>
              <w:t>由于企业2022年年初进行了转型，目前销售产品为存货为主，未进行过采购。</w:t>
            </w:r>
          </w:p>
          <w:p>
            <w:pPr>
              <w:rPr>
                <w:rFonts w:hint="default" w:ascii="楷体" w:hAnsi="楷体" w:eastAsia="楷体" w:cs="Times New Roman"/>
                <w:color w:val="000000"/>
                <w:szCs w:val="21"/>
                <w:lang w:val="en-US" w:eastAsia="zh-CN"/>
              </w:rPr>
            </w:pPr>
            <w:r>
              <w:rPr>
                <w:rFonts w:hint="eastAsia" w:ascii="楷体" w:hAnsi="楷体" w:eastAsia="楷体" w:cs="Times New Roman"/>
                <w:color w:val="000000"/>
                <w:szCs w:val="21"/>
                <w:lang w:val="en-US" w:eastAsia="zh-CN"/>
              </w:rPr>
              <w:t>部分办公用品如打印纸等采购，按办公室上报的采购单进行采购。</w:t>
            </w:r>
          </w:p>
        </w:tc>
        <w:tc>
          <w:tcPr>
            <w:tcW w:w="287" w:type="pct"/>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hint="eastAsia" w:ascii="楷体" w:hAnsi="楷体" w:eastAsia="楷体"/>
                <w:szCs w:val="21"/>
                <w:lang w:val="en-US" w:eastAsia="zh-CN"/>
              </w:rPr>
            </w:pPr>
            <w:r>
              <w:rPr>
                <w:rFonts w:hint="eastAsia" w:ascii="楷体" w:hAnsi="楷体" w:eastAsia="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1" w:type="pct"/>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szCs w:val="21"/>
                <w:lang w:eastAsia="zh-CN"/>
              </w:rPr>
            </w:pPr>
            <w:r>
              <w:rPr>
                <w:rFonts w:hint="eastAsia" w:ascii="楷体" w:hAnsi="楷体" w:eastAsia="楷体"/>
                <w:szCs w:val="21"/>
                <w:lang w:eastAsia="zh-CN"/>
              </w:rPr>
              <w:t>运行控制</w:t>
            </w:r>
          </w:p>
        </w:tc>
        <w:tc>
          <w:tcPr>
            <w:tcW w:w="413" w:type="pct"/>
            <w:tcBorders>
              <w:top w:val="single" w:color="auto" w:sz="4" w:space="0"/>
              <w:left w:val="single" w:color="auto" w:sz="4" w:space="0"/>
              <w:bottom w:val="single" w:color="auto" w:sz="4" w:space="0"/>
              <w:right w:val="single" w:color="auto" w:sz="4" w:space="0"/>
            </w:tcBorders>
            <w:vAlign w:val="center"/>
          </w:tcPr>
          <w:p>
            <w:pPr>
              <w:rPr>
                <w:rFonts w:hint="default" w:ascii="楷体" w:hAnsi="楷体" w:eastAsia="楷体"/>
                <w:szCs w:val="21"/>
                <w:lang w:val="en-US" w:eastAsia="zh-CN"/>
              </w:rPr>
            </w:pPr>
            <w:r>
              <w:rPr>
                <w:rFonts w:hint="eastAsia" w:ascii="楷体" w:hAnsi="楷体" w:eastAsia="楷体"/>
                <w:szCs w:val="21"/>
                <w:lang w:val="en-US" w:eastAsia="zh-CN"/>
              </w:rPr>
              <w:t>EO8.1</w:t>
            </w:r>
          </w:p>
        </w:tc>
        <w:tc>
          <w:tcPr>
            <w:tcW w:w="3788" w:type="pct"/>
            <w:tcBorders>
              <w:top w:val="single" w:color="auto" w:sz="4" w:space="0"/>
              <w:left w:val="single" w:color="auto" w:sz="4" w:space="0"/>
              <w:bottom w:val="single" w:color="auto" w:sz="4" w:space="0"/>
              <w:right w:val="single" w:color="auto" w:sz="4" w:space="0"/>
            </w:tcBorders>
            <w:vAlign w:val="center"/>
          </w:tcPr>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本部门需执行的文件包括：《环境、职业健康安全运行控制程序》《员工职业健康及劳动保护管理办法》《劳动管理制度》《节水、节电管理办法》《能源资源管理办法》《废弃物管理办法》《触电应急预案》《消防应急预案》等管理制度。</w:t>
            </w:r>
          </w:p>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1.办公过程水、电资源的使用执行《节水节电管理办法》，注意节约用电，做到人走灯灭，电脑长时间不用时关机，下班前要关闭电源。</w:t>
            </w:r>
          </w:p>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2.工作时间平均每天不超过8小时，公司为员工缴纳了保险，提供了完税证明。</w:t>
            </w:r>
          </w:p>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3.办公过程产生的固废，执行《废弃物处置管理办法》，按要求放到指定地点，查看无混放现象；废弃的防疫物资设置了专用垃圾桶进行统一丢弃处理。办公用品按要求由办公室负责发放，作好记录，</w:t>
            </w:r>
          </w:p>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4.公司定期为员工提供口罩、洗手液等劳动防护用品及卫生防疫物品，有发放和接收记录。采购人员如必须外出做好个人防护，避免感染；办公区每天消毒；</w:t>
            </w:r>
          </w:p>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5.办公区产生的污水主要为日常清洁，污水无外排情况。</w:t>
            </w:r>
          </w:p>
          <w:p>
            <w:pPr>
              <w:pStyle w:val="2"/>
              <w:ind w:left="0" w:leftChars="0" w:firstLine="0" w:firstLineChars="0"/>
              <w:rPr>
                <w:rFonts w:hint="default" w:ascii="楷体" w:hAnsi="楷体" w:eastAsia="楷体" w:cs="Times New Roman"/>
                <w:kern w:val="2"/>
                <w:sz w:val="21"/>
                <w:szCs w:val="21"/>
                <w:lang w:val="en-US" w:eastAsia="zh-CN" w:bidi="ar-SA"/>
              </w:rPr>
            </w:pPr>
            <w:r>
              <w:rPr>
                <w:rFonts w:hint="eastAsia" w:ascii="楷体" w:hAnsi="楷体" w:eastAsia="楷体" w:cs="Times New Roman"/>
                <w:kern w:val="2"/>
                <w:sz w:val="21"/>
                <w:szCs w:val="21"/>
                <w:lang w:val="en-US" w:eastAsia="zh-CN" w:bidi="ar-SA"/>
              </w:rPr>
              <w:t>6.相关方施加影响：与供方签订了《环境保护及安全协议》，来厂送货来访人员传达了环境和安全管理方针及要求；</w:t>
            </w:r>
          </w:p>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噪声：办公活动无重大噪声。车辆进入公司厂区内需降速，不高声鸣笛；</w:t>
            </w:r>
          </w:p>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固废：配合办公室做好固废分类回收处置。</w:t>
            </w:r>
          </w:p>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节约能源：公司在日常办公时尽量减少纸张及办公用品的消耗，日常注意节水节电，正常使用。</w:t>
            </w:r>
          </w:p>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触电：定期检测用电办公设备和线路，发现故障及时修复，正确使用设备，防止触电、火灾事故发生。</w:t>
            </w:r>
          </w:p>
          <w:p>
            <w:pPr>
              <w:pStyle w:val="2"/>
              <w:ind w:left="0" w:leftChars="0" w:firstLine="0" w:firstLineChars="0"/>
              <w:rPr>
                <w:rFonts w:hint="eastAsia" w:ascii="楷体" w:hAnsi="楷体" w:eastAsia="楷体" w:cs="Times New Roman"/>
                <w:kern w:val="2"/>
                <w:sz w:val="21"/>
                <w:szCs w:val="21"/>
                <w:lang w:val="en-US" w:eastAsia="zh-CN" w:bidi="ar-SA"/>
              </w:rPr>
            </w:pPr>
            <w:r>
              <w:rPr>
                <w:rFonts w:hint="eastAsia" w:ascii="楷体" w:hAnsi="楷体" w:eastAsia="楷体" w:cs="Times New Roman"/>
                <w:kern w:val="2"/>
                <w:sz w:val="21"/>
                <w:szCs w:val="21"/>
                <w:lang w:val="en-US" w:eastAsia="zh-CN" w:bidi="ar-SA"/>
              </w:rPr>
              <w:t>火灾：楼道内灭火器由物业统一管理，检查在有效期内。提供了《消防安全监测检查记录表》，未发现安全隐患。</w:t>
            </w:r>
          </w:p>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交通事故：对员工进行交通安全的培训，上下班途中遵守交通规则，不违章，防止交通事故的发生。</w:t>
            </w:r>
          </w:p>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刺伤/割伤：日常办公时注意安全，各种办公用品放置整齐。</w:t>
            </w:r>
          </w:p>
          <w:p>
            <w:pPr>
              <w:tabs>
                <w:tab w:val="left" w:pos="1825"/>
              </w:tabs>
              <w:jc w:val="left"/>
              <w:rPr>
                <w:rFonts w:hint="eastAsia" w:ascii="楷体" w:hAnsi="楷体" w:eastAsia="楷体"/>
                <w:szCs w:val="21"/>
              </w:rPr>
            </w:pPr>
            <w:r>
              <w:rPr>
                <w:rFonts w:hint="eastAsia" w:ascii="楷体" w:hAnsi="楷体" w:eastAsia="楷体" w:cs="Times New Roman"/>
                <w:szCs w:val="21"/>
                <w:lang w:val="en-US" w:eastAsia="zh-CN"/>
              </w:rPr>
              <w:t>办公区域的环境、职业健康安全的控制基本满足要求</w:t>
            </w:r>
            <w:r>
              <w:rPr>
                <w:rFonts w:hint="eastAsia"/>
              </w:rPr>
              <w:t>。</w:t>
            </w:r>
          </w:p>
        </w:tc>
        <w:tc>
          <w:tcPr>
            <w:tcW w:w="287" w:type="pct"/>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szCs w:val="21"/>
                <w:lang w:val="en-US" w:eastAsia="zh-CN"/>
              </w:rPr>
            </w:pPr>
            <w:r>
              <w:rPr>
                <w:rFonts w:hint="eastAsia" w:ascii="楷体" w:hAnsi="楷体" w:eastAsia="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1" w:type="pct"/>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szCs w:val="21"/>
                <w:lang w:eastAsia="zh-CN"/>
              </w:rPr>
            </w:pPr>
            <w:r>
              <w:rPr>
                <w:rFonts w:hint="eastAsia" w:ascii="楷体" w:hAnsi="楷体" w:eastAsia="楷体"/>
                <w:szCs w:val="21"/>
                <w:lang w:eastAsia="zh-CN"/>
              </w:rPr>
              <w:t>应急准备和响应</w:t>
            </w:r>
          </w:p>
        </w:tc>
        <w:tc>
          <w:tcPr>
            <w:tcW w:w="413" w:type="pct"/>
            <w:tcBorders>
              <w:top w:val="single" w:color="auto" w:sz="4" w:space="0"/>
              <w:left w:val="single" w:color="auto" w:sz="4" w:space="0"/>
              <w:bottom w:val="single" w:color="auto" w:sz="4" w:space="0"/>
              <w:right w:val="single" w:color="auto" w:sz="4" w:space="0"/>
            </w:tcBorders>
            <w:vAlign w:val="center"/>
          </w:tcPr>
          <w:p>
            <w:pPr>
              <w:rPr>
                <w:rFonts w:hint="default" w:ascii="楷体" w:hAnsi="楷体" w:eastAsia="楷体"/>
                <w:szCs w:val="21"/>
                <w:lang w:val="en-US" w:eastAsia="zh-CN"/>
              </w:rPr>
            </w:pPr>
            <w:r>
              <w:rPr>
                <w:rFonts w:hint="eastAsia" w:ascii="楷体" w:hAnsi="楷体" w:eastAsia="楷体"/>
                <w:szCs w:val="21"/>
                <w:lang w:val="en-US" w:eastAsia="zh-CN"/>
              </w:rPr>
              <w:t>EO8.2</w:t>
            </w:r>
          </w:p>
        </w:tc>
        <w:tc>
          <w:tcPr>
            <w:tcW w:w="3788" w:type="pct"/>
            <w:tcBorders>
              <w:top w:val="single" w:color="auto" w:sz="4" w:space="0"/>
              <w:left w:val="single" w:color="auto" w:sz="4" w:space="0"/>
              <w:bottom w:val="single" w:color="auto" w:sz="4" w:space="0"/>
              <w:right w:val="single" w:color="auto" w:sz="4" w:space="0"/>
            </w:tcBorders>
            <w:vAlign w:val="center"/>
          </w:tcPr>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公司建立了《应急准备和响应控制程序》，确定可能对环境、职业健康安全造成影响的潜在的紧急情况或事故、事件，规定响应措施，以便防止和减少可能随之引发的有害的环境影响和相关的职业健康安全不良后果。</w:t>
            </w:r>
          </w:p>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识别出紧急情况有火灾、触电、交通事故。</w:t>
            </w:r>
          </w:p>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查应急预案汇编，包含《消防应急预案》、《触电应急预案》《工伤事故应急预案》《食物中毒应急预案》，应政府要求建立了《新冠肺炎专项应急预案》。</w:t>
            </w:r>
          </w:p>
          <w:p>
            <w:pPr>
              <w:tabs>
                <w:tab w:val="left" w:pos="1825"/>
              </w:tabs>
              <w:jc w:val="left"/>
              <w:rPr>
                <w:rFonts w:hint="eastAsia" w:ascii="楷体" w:hAnsi="楷体" w:eastAsia="楷体" w:cs="Times New Roman"/>
                <w:szCs w:val="21"/>
                <w:lang w:val="en-US" w:eastAsia="zh-CN"/>
              </w:rPr>
            </w:pPr>
            <w:r>
              <w:rPr>
                <w:rFonts w:hint="eastAsia" w:ascii="楷体" w:hAnsi="楷体" w:eastAsia="楷体" w:cs="Times New Roman"/>
                <w:szCs w:val="21"/>
                <w:lang w:val="en-US" w:eastAsia="zh-CN"/>
              </w:rPr>
              <w:t>2022年3月10日参加了办公室组织的消防演练；</w:t>
            </w:r>
          </w:p>
          <w:p>
            <w:pPr>
              <w:rPr>
                <w:rFonts w:hint="eastAsia" w:ascii="楷体" w:hAnsi="楷体" w:eastAsia="楷体"/>
                <w:szCs w:val="21"/>
                <w:lang w:eastAsia="zh-CN"/>
              </w:rPr>
            </w:pPr>
            <w:r>
              <w:rPr>
                <w:rFonts w:hint="eastAsia" w:ascii="楷体" w:hAnsi="楷体" w:eastAsia="楷体"/>
                <w:szCs w:val="21"/>
                <w:lang w:eastAsia="zh-CN"/>
              </w:rPr>
              <w:t>2022年5月14日参加了办公室组织的触电演练；</w:t>
            </w:r>
          </w:p>
          <w:p>
            <w:pPr>
              <w:rPr>
                <w:rFonts w:hint="eastAsia" w:ascii="楷体" w:hAnsi="楷体" w:eastAsia="楷体"/>
                <w:szCs w:val="21"/>
                <w:lang w:eastAsia="zh-CN"/>
              </w:rPr>
            </w:pPr>
            <w:r>
              <w:rPr>
                <w:rFonts w:hint="eastAsia" w:ascii="楷体" w:hAnsi="楷体" w:eastAsia="楷体"/>
                <w:szCs w:val="21"/>
                <w:lang w:eastAsia="zh-CN"/>
              </w:rPr>
              <w:t>配合办公室做好应急演练工作，具体记录见办公室审核记录。</w:t>
            </w:r>
          </w:p>
        </w:tc>
        <w:tc>
          <w:tcPr>
            <w:tcW w:w="287" w:type="pct"/>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szCs w:val="21"/>
                <w:lang w:val="en-US" w:eastAsia="zh-CN"/>
              </w:rPr>
            </w:pPr>
            <w:r>
              <w:rPr>
                <w:rFonts w:hint="eastAsia" w:ascii="楷体" w:hAnsi="楷体" w:eastAsia="楷体"/>
                <w:szCs w:val="21"/>
                <w:lang w:val="en-US" w:eastAsia="zh-CN"/>
              </w:rPr>
              <w:t>Y</w:t>
            </w:r>
          </w:p>
        </w:tc>
      </w:tr>
    </w:tbl>
    <w:p>
      <w:pPr>
        <w:pStyle w:val="10"/>
        <w:rPr>
          <w:rFonts w:ascii="Calibri" w:hAnsi="Calibri"/>
        </w:rPr>
      </w:pPr>
    </w:p>
    <w:p>
      <w:pPr>
        <w:pStyle w:val="10"/>
      </w:pPr>
      <w:r>
        <w:rPr>
          <w:rFonts w:hint="eastAsia"/>
        </w:rPr>
        <w:t>说明：不符合标注</w:t>
      </w:r>
      <w:r>
        <w:t>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10"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11"/>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 xml:space="preserve"> ISC-B-II-12(05版)</w:t>
                </w:r>
              </w:p>
            </w:txbxContent>
          </v:textbox>
        </v:shape>
      </w:pict>
    </w:r>
    <w:r>
      <w:rPr>
        <w:rStyle w:val="21"/>
        <w:rFonts w:hint="default"/>
        <w:w w:val="90"/>
      </w:rPr>
      <w:t>Beijing International Standard united Certification Co.,Ltd.</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88622"/>
    <w:multiLevelType w:val="singleLevel"/>
    <w:tmpl w:val="E6688622"/>
    <w:lvl w:ilvl="0" w:tentative="0">
      <w:start w:val="9"/>
      <w:numFmt w:val="decimal"/>
      <w:pStyle w:val="23"/>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446B9"/>
    <w:rsid w:val="00083BC3"/>
    <w:rsid w:val="000E2732"/>
    <w:rsid w:val="00165E6E"/>
    <w:rsid w:val="00172A27"/>
    <w:rsid w:val="00211DB6"/>
    <w:rsid w:val="00223A24"/>
    <w:rsid w:val="002360D5"/>
    <w:rsid w:val="00251D2E"/>
    <w:rsid w:val="002A623A"/>
    <w:rsid w:val="002F2502"/>
    <w:rsid w:val="003D3EDA"/>
    <w:rsid w:val="004121DE"/>
    <w:rsid w:val="00434D9A"/>
    <w:rsid w:val="00435B26"/>
    <w:rsid w:val="00482E71"/>
    <w:rsid w:val="00505289"/>
    <w:rsid w:val="005331E3"/>
    <w:rsid w:val="00677C75"/>
    <w:rsid w:val="00687DEA"/>
    <w:rsid w:val="006C0FA1"/>
    <w:rsid w:val="0075460D"/>
    <w:rsid w:val="00755FAA"/>
    <w:rsid w:val="007B5841"/>
    <w:rsid w:val="007F4E9F"/>
    <w:rsid w:val="0088308D"/>
    <w:rsid w:val="0088483B"/>
    <w:rsid w:val="008A39AA"/>
    <w:rsid w:val="009A70B7"/>
    <w:rsid w:val="009B5238"/>
    <w:rsid w:val="009B6EDF"/>
    <w:rsid w:val="009C44D5"/>
    <w:rsid w:val="00A301F6"/>
    <w:rsid w:val="00A7157B"/>
    <w:rsid w:val="00AA0DAB"/>
    <w:rsid w:val="00B15FD5"/>
    <w:rsid w:val="00B6409C"/>
    <w:rsid w:val="00BA2C64"/>
    <w:rsid w:val="00C43D2E"/>
    <w:rsid w:val="00C57F19"/>
    <w:rsid w:val="00C8683C"/>
    <w:rsid w:val="00D10CAC"/>
    <w:rsid w:val="00DA5F3B"/>
    <w:rsid w:val="00E807C2"/>
    <w:rsid w:val="00ED4B5B"/>
    <w:rsid w:val="00EE6AC2"/>
    <w:rsid w:val="00F00191"/>
    <w:rsid w:val="00F05C2A"/>
    <w:rsid w:val="00F24FCD"/>
    <w:rsid w:val="00F848E2"/>
    <w:rsid w:val="00FB191E"/>
    <w:rsid w:val="02CD3CC1"/>
    <w:rsid w:val="02F827B5"/>
    <w:rsid w:val="032C18A2"/>
    <w:rsid w:val="069A69A2"/>
    <w:rsid w:val="071602E4"/>
    <w:rsid w:val="07834179"/>
    <w:rsid w:val="07CD02C0"/>
    <w:rsid w:val="080D2DB2"/>
    <w:rsid w:val="087F5A5E"/>
    <w:rsid w:val="089D7C92"/>
    <w:rsid w:val="08F06A48"/>
    <w:rsid w:val="095261F1"/>
    <w:rsid w:val="0955726C"/>
    <w:rsid w:val="0AF81AF7"/>
    <w:rsid w:val="0CB5709F"/>
    <w:rsid w:val="0CC815A3"/>
    <w:rsid w:val="0D0C188A"/>
    <w:rsid w:val="0D18022F"/>
    <w:rsid w:val="0D57284E"/>
    <w:rsid w:val="0DCD1019"/>
    <w:rsid w:val="0E0F46AC"/>
    <w:rsid w:val="0E146C48"/>
    <w:rsid w:val="0E96765D"/>
    <w:rsid w:val="0FD61CDB"/>
    <w:rsid w:val="10AF4A06"/>
    <w:rsid w:val="110D7335"/>
    <w:rsid w:val="11547472"/>
    <w:rsid w:val="121F3E0E"/>
    <w:rsid w:val="12244F80"/>
    <w:rsid w:val="12DB7D35"/>
    <w:rsid w:val="13097082"/>
    <w:rsid w:val="1340228E"/>
    <w:rsid w:val="138C54D3"/>
    <w:rsid w:val="13F36B3B"/>
    <w:rsid w:val="14691370"/>
    <w:rsid w:val="147C10A3"/>
    <w:rsid w:val="148A7C64"/>
    <w:rsid w:val="148C39B2"/>
    <w:rsid w:val="14A10B0A"/>
    <w:rsid w:val="151237B6"/>
    <w:rsid w:val="161948F8"/>
    <w:rsid w:val="16802341"/>
    <w:rsid w:val="16F5338F"/>
    <w:rsid w:val="1755215E"/>
    <w:rsid w:val="19680B28"/>
    <w:rsid w:val="197B7862"/>
    <w:rsid w:val="1A16534C"/>
    <w:rsid w:val="1B4239E1"/>
    <w:rsid w:val="1BE37C5A"/>
    <w:rsid w:val="1D1B6E43"/>
    <w:rsid w:val="1DF736E1"/>
    <w:rsid w:val="1E635082"/>
    <w:rsid w:val="1ED307E2"/>
    <w:rsid w:val="1F1A7E37"/>
    <w:rsid w:val="1F2E38E2"/>
    <w:rsid w:val="201063F5"/>
    <w:rsid w:val="204D5FEA"/>
    <w:rsid w:val="206A094A"/>
    <w:rsid w:val="207C79FC"/>
    <w:rsid w:val="22097CEF"/>
    <w:rsid w:val="227855A0"/>
    <w:rsid w:val="23571659"/>
    <w:rsid w:val="238D0D17"/>
    <w:rsid w:val="239006C7"/>
    <w:rsid w:val="23B86870"/>
    <w:rsid w:val="24E61397"/>
    <w:rsid w:val="25931B77"/>
    <w:rsid w:val="25EB42DB"/>
    <w:rsid w:val="26663961"/>
    <w:rsid w:val="27506FC9"/>
    <w:rsid w:val="27CA237A"/>
    <w:rsid w:val="28966C30"/>
    <w:rsid w:val="2BA218FD"/>
    <w:rsid w:val="2BD559B4"/>
    <w:rsid w:val="2D2A393B"/>
    <w:rsid w:val="2D424A3C"/>
    <w:rsid w:val="2DDF0A87"/>
    <w:rsid w:val="2DE405F9"/>
    <w:rsid w:val="2E70537D"/>
    <w:rsid w:val="2E9F5C62"/>
    <w:rsid w:val="2F5F4DFE"/>
    <w:rsid w:val="2FE01DC9"/>
    <w:rsid w:val="3048367F"/>
    <w:rsid w:val="30D83F84"/>
    <w:rsid w:val="310B76AB"/>
    <w:rsid w:val="31172428"/>
    <w:rsid w:val="31174143"/>
    <w:rsid w:val="311E2B2F"/>
    <w:rsid w:val="31BB1005"/>
    <w:rsid w:val="31FB2A20"/>
    <w:rsid w:val="32C27B60"/>
    <w:rsid w:val="33264F6B"/>
    <w:rsid w:val="340D2DD0"/>
    <w:rsid w:val="357C4FF0"/>
    <w:rsid w:val="35AD3F57"/>
    <w:rsid w:val="361A0CBB"/>
    <w:rsid w:val="37076A9B"/>
    <w:rsid w:val="37D050DF"/>
    <w:rsid w:val="3862042D"/>
    <w:rsid w:val="39FE4185"/>
    <w:rsid w:val="3A322081"/>
    <w:rsid w:val="3A6F3596"/>
    <w:rsid w:val="3AA770DD"/>
    <w:rsid w:val="3AAB598F"/>
    <w:rsid w:val="3AD279CD"/>
    <w:rsid w:val="3C3B1043"/>
    <w:rsid w:val="3C9C1A33"/>
    <w:rsid w:val="3CFF58C3"/>
    <w:rsid w:val="3D430101"/>
    <w:rsid w:val="3DA07AD8"/>
    <w:rsid w:val="3E4C4106"/>
    <w:rsid w:val="3F147FA7"/>
    <w:rsid w:val="3F2D2E17"/>
    <w:rsid w:val="3F30107F"/>
    <w:rsid w:val="3F4F7037"/>
    <w:rsid w:val="3F8A61EF"/>
    <w:rsid w:val="3FFC40F9"/>
    <w:rsid w:val="402358E4"/>
    <w:rsid w:val="416D3A05"/>
    <w:rsid w:val="41AE46E3"/>
    <w:rsid w:val="420E239E"/>
    <w:rsid w:val="42350960"/>
    <w:rsid w:val="42D31F27"/>
    <w:rsid w:val="44000F96"/>
    <w:rsid w:val="448939E8"/>
    <w:rsid w:val="44E4041B"/>
    <w:rsid w:val="462336CA"/>
    <w:rsid w:val="464C44CA"/>
    <w:rsid w:val="46B34549"/>
    <w:rsid w:val="470D5BB3"/>
    <w:rsid w:val="478A7058"/>
    <w:rsid w:val="48457423"/>
    <w:rsid w:val="49B41657"/>
    <w:rsid w:val="4AE4195E"/>
    <w:rsid w:val="4B1C090F"/>
    <w:rsid w:val="4BD411EA"/>
    <w:rsid w:val="4C422E07"/>
    <w:rsid w:val="4C5F211F"/>
    <w:rsid w:val="4CDE09B1"/>
    <w:rsid w:val="4DB8446C"/>
    <w:rsid w:val="4E2645D9"/>
    <w:rsid w:val="4E432B3D"/>
    <w:rsid w:val="4E4E112E"/>
    <w:rsid w:val="4E6A373F"/>
    <w:rsid w:val="4E906B84"/>
    <w:rsid w:val="50534713"/>
    <w:rsid w:val="512A5408"/>
    <w:rsid w:val="51B178D7"/>
    <w:rsid w:val="51CE0489"/>
    <w:rsid w:val="533505B9"/>
    <w:rsid w:val="53C71634"/>
    <w:rsid w:val="53D70873"/>
    <w:rsid w:val="53EC33B3"/>
    <w:rsid w:val="54887ACF"/>
    <w:rsid w:val="55CA2C97"/>
    <w:rsid w:val="562B5EAA"/>
    <w:rsid w:val="56595C72"/>
    <w:rsid w:val="566C29CD"/>
    <w:rsid w:val="56EA7907"/>
    <w:rsid w:val="574134AB"/>
    <w:rsid w:val="57622B9F"/>
    <w:rsid w:val="5794182D"/>
    <w:rsid w:val="57DD5F3B"/>
    <w:rsid w:val="57E069DE"/>
    <w:rsid w:val="57F61A9D"/>
    <w:rsid w:val="58A753F3"/>
    <w:rsid w:val="5B4E0839"/>
    <w:rsid w:val="5C8A7B5D"/>
    <w:rsid w:val="5D504448"/>
    <w:rsid w:val="5EBB7FE7"/>
    <w:rsid w:val="5EFF572F"/>
    <w:rsid w:val="5F7E4D8D"/>
    <w:rsid w:val="5F8B6CA4"/>
    <w:rsid w:val="603A402A"/>
    <w:rsid w:val="604C0FCC"/>
    <w:rsid w:val="60F041D8"/>
    <w:rsid w:val="61354081"/>
    <w:rsid w:val="6247665C"/>
    <w:rsid w:val="6248062A"/>
    <w:rsid w:val="626F3307"/>
    <w:rsid w:val="62853BC4"/>
    <w:rsid w:val="638F0C6D"/>
    <w:rsid w:val="639130C5"/>
    <w:rsid w:val="63BA5E61"/>
    <w:rsid w:val="63CB2A7A"/>
    <w:rsid w:val="6446790D"/>
    <w:rsid w:val="64D8544F"/>
    <w:rsid w:val="656C2C83"/>
    <w:rsid w:val="657A1AA1"/>
    <w:rsid w:val="658D65D9"/>
    <w:rsid w:val="659A0956"/>
    <w:rsid w:val="65DC4ACB"/>
    <w:rsid w:val="66365258"/>
    <w:rsid w:val="66D25ECE"/>
    <w:rsid w:val="66F627FA"/>
    <w:rsid w:val="67A535E2"/>
    <w:rsid w:val="67DF717D"/>
    <w:rsid w:val="68F452C7"/>
    <w:rsid w:val="6A023D8F"/>
    <w:rsid w:val="6A2230B3"/>
    <w:rsid w:val="6B3B04E6"/>
    <w:rsid w:val="6B8F67CD"/>
    <w:rsid w:val="6CCF5389"/>
    <w:rsid w:val="6EA3225C"/>
    <w:rsid w:val="6F1A5811"/>
    <w:rsid w:val="719E7794"/>
    <w:rsid w:val="721F290F"/>
    <w:rsid w:val="72216EF5"/>
    <w:rsid w:val="723A2DA8"/>
    <w:rsid w:val="723B26D6"/>
    <w:rsid w:val="72A41658"/>
    <w:rsid w:val="72C81D85"/>
    <w:rsid w:val="72E505AA"/>
    <w:rsid w:val="72F606FE"/>
    <w:rsid w:val="742F2BB2"/>
    <w:rsid w:val="743C3640"/>
    <w:rsid w:val="75AB44BA"/>
    <w:rsid w:val="76DD5309"/>
    <w:rsid w:val="777C610E"/>
    <w:rsid w:val="77EA751B"/>
    <w:rsid w:val="781A3921"/>
    <w:rsid w:val="79AB4EB5"/>
    <w:rsid w:val="7AAF67FA"/>
    <w:rsid w:val="7C17769E"/>
    <w:rsid w:val="7C690A14"/>
    <w:rsid w:val="7DB11D69"/>
    <w:rsid w:val="7F736048"/>
    <w:rsid w:val="7F821A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360" w:lineRule="auto"/>
      <w:jc w:val="center"/>
      <w:outlineLvl w:val="0"/>
    </w:pPr>
    <w:rPr>
      <w:rFonts w:ascii="Calibri" w:hAnsi="Calibri"/>
      <w:b/>
      <w:kern w:val="44"/>
      <w:sz w:val="44"/>
      <w:szCs w:val="22"/>
    </w:rPr>
  </w:style>
  <w:style w:type="paragraph" w:styleId="4">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5">
    <w:name w:val="Normal Indent"/>
    <w:basedOn w:val="1"/>
    <w:qFormat/>
    <w:uiPriority w:val="0"/>
    <w:pPr>
      <w:adjustRightInd w:val="0"/>
      <w:spacing w:line="360" w:lineRule="atLeast"/>
      <w:ind w:left="480"/>
      <w:textAlignment w:val="baseline"/>
    </w:pPr>
    <w:rPr>
      <w:kern w:val="0"/>
    </w:rPr>
  </w:style>
  <w:style w:type="paragraph" w:styleId="6">
    <w:name w:val="Body Text"/>
    <w:basedOn w:val="1"/>
    <w:unhideWhenUsed/>
    <w:qFormat/>
    <w:uiPriority w:val="99"/>
    <w:pPr>
      <w:spacing w:line="420" w:lineRule="exact"/>
    </w:pPr>
    <w:rPr>
      <w:sz w:val="24"/>
    </w:rPr>
  </w:style>
  <w:style w:type="paragraph" w:styleId="7">
    <w:name w:val="Block Text"/>
    <w:basedOn w:val="1"/>
    <w:qFormat/>
    <w:uiPriority w:val="0"/>
    <w:pPr>
      <w:ind w:left="1785" w:right="3407"/>
    </w:pPr>
    <w:rPr>
      <w:sz w:val="24"/>
    </w:rPr>
  </w:style>
  <w:style w:type="paragraph" w:styleId="8">
    <w:name w:val="Plain Text"/>
    <w:basedOn w:val="1"/>
    <w:qFormat/>
    <w:uiPriority w:val="0"/>
    <w:rPr>
      <w:rFonts w:ascii="宋体" w:hAnsi="Courier New"/>
    </w:rPr>
  </w:style>
  <w:style w:type="paragraph" w:styleId="9">
    <w:name w:val="Balloon Text"/>
    <w:basedOn w:val="1"/>
    <w:link w:val="20"/>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next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338DE6"/>
      <w:u w:val="none"/>
    </w:rPr>
  </w:style>
  <w:style w:type="paragraph" w:customStyle="1" w:styleId="17">
    <w:name w:val="表格文字"/>
    <w:basedOn w:val="1"/>
    <w:qFormat/>
    <w:uiPriority w:val="0"/>
    <w:pPr>
      <w:spacing w:before="25" w:after="25"/>
    </w:pPr>
    <w:rPr>
      <w:bCs/>
      <w:spacing w:val="10"/>
    </w:rPr>
  </w:style>
  <w:style w:type="character" w:customStyle="1" w:styleId="18">
    <w:name w:val="页眉 字符"/>
    <w:basedOn w:val="15"/>
    <w:link w:val="11"/>
    <w:qFormat/>
    <w:uiPriority w:val="99"/>
    <w:rPr>
      <w:rFonts w:ascii="Times New Roman" w:hAnsi="Times New Roman" w:eastAsia="宋体" w:cs="Times New Roman"/>
      <w:sz w:val="18"/>
      <w:szCs w:val="18"/>
    </w:rPr>
  </w:style>
  <w:style w:type="character" w:customStyle="1" w:styleId="19">
    <w:name w:val="页脚 字符"/>
    <w:basedOn w:val="15"/>
    <w:link w:val="10"/>
    <w:qFormat/>
    <w:uiPriority w:val="99"/>
    <w:rPr>
      <w:rFonts w:ascii="Times New Roman" w:hAnsi="Times New Roman" w:eastAsia="宋体" w:cs="Times New Roman"/>
      <w:sz w:val="18"/>
      <w:szCs w:val="18"/>
    </w:rPr>
  </w:style>
  <w:style w:type="character" w:customStyle="1" w:styleId="20">
    <w:name w:val="批注框文本 字符"/>
    <w:basedOn w:val="15"/>
    <w:link w:val="9"/>
    <w:semiHidden/>
    <w:qFormat/>
    <w:uiPriority w:val="99"/>
    <w:rPr>
      <w:rFonts w:ascii="Times New Roman" w:hAnsi="Times New Roman" w:eastAsia="宋体" w:cs="Times New Roman"/>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Table Paragraph"/>
    <w:basedOn w:val="1"/>
    <w:unhideWhenUsed/>
    <w:qFormat/>
    <w:uiPriority w:val="1"/>
    <w:rPr>
      <w:rFonts w:hint="eastAsia"/>
      <w:sz w:val="24"/>
    </w:rPr>
  </w:style>
  <w:style w:type="paragraph" w:customStyle="1" w:styleId="23">
    <w:name w:val="Char"/>
    <w:basedOn w:val="1"/>
    <w:qFormat/>
    <w:uiPriority w:val="0"/>
    <w:pPr>
      <w:numPr>
        <w:ilvl w:val="0"/>
        <w:numId w:val="1"/>
      </w:numPr>
      <w:tabs>
        <w:tab w:val="left" w:pos="252"/>
      </w:tabs>
    </w:pPr>
    <w:rPr>
      <w:sz w:val="24"/>
    </w:rPr>
  </w:style>
  <w:style w:type="paragraph" w:styleId="24">
    <w:name w:val="List Paragraph"/>
    <w:basedOn w:val="1"/>
    <w:qFormat/>
    <w:uiPriority w:val="99"/>
    <w:pPr>
      <w:ind w:firstLine="420" w:firstLineChars="200"/>
    </w:pPr>
  </w:style>
  <w:style w:type="paragraph" w:customStyle="1" w:styleId="25">
    <w:name w:val="Char Char Char Char"/>
    <w:basedOn w:val="1"/>
    <w:qFormat/>
    <w:uiPriority w:val="0"/>
    <w:rPr>
      <w:rFonts w:ascii="Tahoma" w:hAnsi="Tahoma"/>
      <w:sz w:val="24"/>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Char Char Char Char1"/>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2516</Words>
  <Characters>14345</Characters>
  <Lines>119</Lines>
  <Paragraphs>33</Paragraphs>
  <TotalTime>1</TotalTime>
  <ScaleCrop>false</ScaleCrop>
  <LinksUpToDate>false</LinksUpToDate>
  <CharactersWithSpaces>16828</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2022-07-22T07:30:40Z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C750CBA7631E4663AE248E0CA462FBD5</vt:lpwstr>
  </property>
</Properties>
</file>