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0"/>
        <w:gridCol w:w="131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四川欧宝路管业有限责任公司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O：14.02.01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管材流程：配料——混料——熔融——挤塑——成型——切割——入库——交付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</w:rPr>
              <w:t>管件流程：配料——混料——熔融——注塑——成型——修整——入库——交付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特殊过程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>挤塑、注塑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控制措施：根据作业指导书、管理手册及特殊过程确认进行控制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GB/T13663.2-2018《给水用聚乙烯（PE）管材》、GB/T13663.3-202018、GB/T18742.2-2017、GB/T18742.3-2017、GB/T5836.1-2018建筑排水用聚氯乙烯（PVC-U）管材、GB/T5836.2-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PVC管材：外观质量、尺寸、纵向回缩率%、静液压强度、标志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PVC管件：外观质量、尺寸、纵向回缩率%、静液压强度、标志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HDPE管材：外观质量、尺寸、纵向回缩率%、静液压强度、标志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140335</wp:posOffset>
                  </wp:positionV>
                  <wp:extent cx="644525" cy="314325"/>
                  <wp:effectExtent l="0" t="0" r="3175" b="3175"/>
                  <wp:wrapNone/>
                  <wp:docPr id="31" name="图片 31" descr="b3aaae2781643f5859998e67a3439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b3aaae2781643f5859998e67a3439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146685</wp:posOffset>
                  </wp:positionV>
                  <wp:extent cx="1019810" cy="346075"/>
                  <wp:effectExtent l="0" t="0" r="889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0"/>
        <w:gridCol w:w="131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四川欧宝路管业有限责任公司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O：14.02.01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管材流程：配料——混料——熔融——挤塑——成型——切割——入库——交付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</w:rPr>
              <w:t>管件流程：配料——混料——熔融——注塑——成型——修整——入库——交付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不可接受风险：1）火灾、易燃易爆）；2）触电；3）职业病（粉尘、噪声、化学品挥发）；4）意外伤害（物体打击、机械伤害、灼烫等）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控制措施：a、按运行程序控制 b、按目标指标管理方案控制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中华人民共和国产品质量法》《中华人民共和国合同法》《中华人民共和国标准化法》《中华人民共和国环境保护法》《中华人民共和国安全生产法》《中华人民共和国职业病防治法》GB/T13663.2-2018《给水用聚乙烯（PE）管材》、GB/T13663.3-202018、GB/T18742.2-2017、GB/T18742.3-2017、GB/T5836.1-2018建筑排水用聚氯乙烯（PVC-U）管材、GB/T5836.2-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140335</wp:posOffset>
                  </wp:positionV>
                  <wp:extent cx="644525" cy="314325"/>
                  <wp:effectExtent l="0" t="0" r="3175" b="3175"/>
                  <wp:wrapNone/>
                  <wp:docPr id="4" name="图片 4" descr="b3aaae2781643f5859998e67a3439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3aaae2781643f5859998e67a3439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146685</wp:posOffset>
                  </wp:positionV>
                  <wp:extent cx="1019810" cy="346075"/>
                  <wp:effectExtent l="0" t="0" r="889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34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2022年8月13日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46B4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2022-09-12T23:03:36Z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