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0246-2020-EO-2022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上海店李贸易有限公司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lang w:val="en-US"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上海店李贸易有限公司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上海闵行区新镇路1509弄3号302-B22室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201100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上海闵行区曲吴路589号6号楼301室</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200241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hint="eastAsia" w:ascii="Times New Roman" w:hAnsi="Times New Roman" w:eastAsia="宋体" w:cs="Times New Roman"/>
                <w:kern w:val="2"/>
                <w:sz w:val="21"/>
                <w:szCs w:val="24"/>
                <w:lang w:val="en-US" w:eastAsia="zh-CN" w:bidi="ar-SA"/>
              </w:rPr>
            </w:pPr>
            <w:r>
              <w:t>李海强</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13641720613</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李长杰</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李海强</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val="en-US"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lang w:val="en-US" w:eastAsia="zh-CN"/>
              </w:rPr>
            </w:pPr>
            <w:r>
              <w:rPr>
                <w:rFonts w:hint="eastAsia"/>
                <w:lang w:val="en-US" w:eastAsia="zh-CN"/>
              </w:rPr>
              <w:t>业务洽谈→签订合同→安排发货→售后服务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2022年07月25日 上午至2022年07月25日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en-US"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en-US"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val="en-US" w:eastAsia="zh-CN"/>
              </w:rPr>
              <w:t>□</w:t>
            </w:r>
            <w:r>
              <w:rPr>
                <w:rFonts w:hint="eastAsia" w:ascii="宋体" w:hAnsi="宋体" w:cs="宋体"/>
                <w:color w:val="000000"/>
                <w:kern w:val="0"/>
                <w:szCs w:val="21"/>
              </w:rPr>
              <w:t>现场审核</w:t>
            </w:r>
            <w:r>
              <w:rPr>
                <w:rFonts w:hint="eastAsia" w:ascii="宋体" w:hAnsi="宋体" w:cs="宋体"/>
                <w:color w:val="000000"/>
                <w:kern w:val="0"/>
                <w:lang w:val="en-US"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3" w:name="二阶段勾选"/>
            <w:r>
              <w:rPr>
                <w:rFonts w:hint="eastAsia"/>
              </w:rPr>
              <w:t>□</w:t>
            </w:r>
            <w:bookmarkEnd w:id="13"/>
            <w:r>
              <w:rPr>
                <w:rFonts w:hint="eastAsia"/>
              </w:rPr>
              <w:t>初审二阶段</w:t>
            </w:r>
            <w:bookmarkStart w:id="14" w:name="监督勾选Add1"/>
            <w:r>
              <w:rPr>
                <w:rFonts w:hint="eastAsia"/>
              </w:rPr>
              <w:t>■</w:t>
            </w:r>
            <w:bookmarkEnd w:id="14"/>
            <w:r>
              <w:rPr>
                <w:rFonts w:hint="eastAsia"/>
              </w:rPr>
              <w:t>监督第</w:t>
            </w:r>
            <w:bookmarkStart w:id="15" w:name="监督次数"/>
            <w:r>
              <w:rPr>
                <w:rFonts w:hint="eastAsia"/>
              </w:rPr>
              <w:t>二</w:t>
            </w:r>
            <w:bookmarkEnd w:id="15"/>
            <w:r>
              <w:rPr>
                <w:rFonts w:hint="eastAsia"/>
              </w:rPr>
              <w:t>次监督审核</w:t>
            </w:r>
            <w:bookmarkStart w:id="16" w:name="再认证勾选"/>
            <w:r>
              <w:rPr>
                <w:rFonts w:hint="eastAsia"/>
              </w:rPr>
              <w:t>□</w:t>
            </w:r>
            <w:bookmarkEnd w:id="16"/>
            <w:r>
              <w:rPr>
                <w:rFonts w:hint="eastAsia"/>
              </w:rPr>
              <w:t>再认证</w:t>
            </w:r>
            <w:bookmarkStart w:id="17" w:name="扩项勾选Add1"/>
            <w:r>
              <w:rPr>
                <w:rFonts w:hint="eastAsia"/>
              </w:rPr>
              <w:t>□</w:t>
            </w:r>
            <w:bookmarkEnd w:id="1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上海闵行区曲吴路589号6号楼301室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val="en-US" w:eastAsia="zh-CN"/>
              </w:rPr>
              <w:t>■</w:t>
            </w:r>
            <w:r>
              <w:rPr>
                <w:rFonts w:hint="eastAsia" w:ascii="宋体"/>
                <w:b/>
                <w:color w:val="0000FF"/>
                <w:szCs w:val="21"/>
              </w:rPr>
              <w:t>视频</w:t>
            </w:r>
            <w:r>
              <w:rPr>
                <w:rFonts w:hint="eastAsia" w:ascii="宋体"/>
                <w:b/>
                <w:color w:val="0000FF"/>
                <w:szCs w:val="21"/>
                <w:lang w:val="en-US"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网络</w:t>
            </w:r>
            <w:r>
              <w:rPr>
                <w:rFonts w:hint="eastAsia" w:ascii="宋体"/>
                <w:b/>
                <w:color w:val="0000FF"/>
                <w:szCs w:val="21"/>
                <w:lang w:val="en-US" w:eastAsia="zh-CN"/>
              </w:rPr>
              <w:t>■</w:t>
            </w:r>
            <w:r>
              <w:rPr>
                <w:rFonts w:hint="eastAsia" w:ascii="宋体"/>
                <w:b/>
                <w:color w:val="0000FF"/>
                <w:szCs w:val="21"/>
              </w:rPr>
              <w:t>智能手机□手持设备</w:t>
            </w:r>
            <w:r>
              <w:rPr>
                <w:rFonts w:hint="eastAsia" w:ascii="宋体"/>
                <w:b/>
                <w:color w:val="0000FF"/>
                <w:szCs w:val="21"/>
                <w:lang w:val="en-US"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18" w:name="审核范围"/>
            <w:r>
              <w:t>E：许可范围内的腐蚀品（碱性腐蚀品、酸性腐蚀品及其他腐蚀品包含水处理剂）的销售所涉及场所的相关环境管理活动。</w:t>
            </w:r>
          </w:p>
          <w:p>
            <w:r>
              <w:t>O：许可范围内的腐蚀品（碱性腐蚀品、酸性腐蚀品及其他腐蚀品包含水处理剂）的销售所涉及场所的相关职业健康安全管理活动。</w:t>
            </w:r>
            <w:bookmarkEnd w:id="1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9" w:name="专业代码"/>
            <w:r>
              <w:t>E：29.11.05</w:t>
            </w:r>
          </w:p>
          <w:p>
            <w:r>
              <w:t>O：29.11.05</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val="en-US" w:eastAsia="zh-CN"/>
              </w:rPr>
              <w:t>□</w:t>
            </w:r>
            <w:r>
              <w:rPr>
                <w:rFonts w:hint="eastAsia"/>
              </w:rPr>
              <w:t>其他：</w:t>
            </w:r>
            <w:r>
              <w:rPr>
                <w:rFonts w:hint="eastAsia"/>
                <w:lang w:val="en-US" w:eastAsia="zh-CN"/>
              </w:rPr>
              <w:t>受审核组织</w:t>
            </w:r>
            <w:r>
              <w:rPr>
                <w:rFonts w:hint="eastAsia" w:ascii="宋体" w:hAnsi="宋体"/>
                <w:color w:val="000000"/>
                <w:szCs w:val="21"/>
              </w:rPr>
              <w:t>采购销售的产品均为客户指定的产品，因此不涉及</w:t>
            </w:r>
            <w:r>
              <w:rPr>
                <w:rFonts w:hint="eastAsia" w:ascii="宋体" w:hAnsi="宋体"/>
                <w:color w:val="000000"/>
                <w:szCs w:val="21"/>
                <w:lang w:val="en-US" w:eastAsia="zh-CN"/>
              </w:rPr>
              <w:t>设计和开发</w:t>
            </w:r>
            <w:r>
              <w:rPr>
                <w:rFonts w:hint="eastAsia" w:ascii="宋体" w:hAnsi="宋体"/>
                <w:color w:val="00000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w:t>
            </w:r>
            <w:r>
              <w:rPr>
                <w:rFonts w:hint="eastAsia"/>
                <w:lang w:val="en-US" w:eastAsia="zh-CN"/>
              </w:rPr>
              <w:t>7</w:t>
            </w:r>
            <w:r>
              <w:rPr>
                <w:rFonts w:hint="eastAsia"/>
              </w:rPr>
              <w:t>月</w:t>
            </w:r>
            <w:r>
              <w:rPr>
                <w:rFonts w:hint="eastAsia"/>
                <w:lang w:val="en-US" w:eastAsia="zh-CN"/>
              </w:rPr>
              <w:t>14</w:t>
            </w:r>
            <w:r>
              <w:rPr>
                <w:rFonts w:hint="eastAsia"/>
              </w:rPr>
              <w:t>日 上午至2021年0</w:t>
            </w:r>
            <w:r>
              <w:rPr>
                <w:rFonts w:hint="eastAsia"/>
                <w:lang w:val="en-US" w:eastAsia="zh-CN"/>
              </w:rPr>
              <w:t>7</w:t>
            </w:r>
            <w:r>
              <w:rPr>
                <w:rFonts w:hint="eastAsia"/>
              </w:rPr>
              <w:t>月</w:t>
            </w:r>
            <w:r>
              <w:rPr>
                <w:rFonts w:hint="eastAsia"/>
                <w:lang w:val="en-US" w:eastAsia="zh-CN"/>
              </w:rPr>
              <w:t>15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36"/>
        <w:gridCol w:w="1420"/>
        <w:gridCol w:w="670"/>
        <w:gridCol w:w="2980"/>
        <w:gridCol w:w="20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436" w:type="dxa"/>
            <w:shd w:val="clear" w:color="auto" w:fill="F3F3F3"/>
            <w:tcMar>
              <w:left w:w="57" w:type="dxa"/>
              <w:right w:w="57" w:type="dxa"/>
            </w:tcMar>
          </w:tcPr>
          <w:p>
            <w:r>
              <w:rPr>
                <w:rFonts w:hint="eastAsia"/>
              </w:rPr>
              <w:t>组织名称及注册场所地址</w:t>
            </w:r>
          </w:p>
        </w:tc>
        <w:tc>
          <w:tcPr>
            <w:tcW w:w="1420" w:type="dxa"/>
            <w:shd w:val="clear" w:color="auto" w:fill="F3F3F3"/>
            <w:tcMar>
              <w:left w:w="57" w:type="dxa"/>
              <w:right w:w="57" w:type="dxa"/>
            </w:tcMar>
          </w:tcPr>
          <w:p>
            <w:r>
              <w:rPr>
                <w:rFonts w:hint="eastAsia"/>
              </w:rPr>
              <w:t>经营场所的地址</w:t>
            </w:r>
          </w:p>
          <w:p>
            <w:r>
              <w:rPr>
                <w:rFonts w:hint="eastAsia"/>
              </w:rPr>
              <w:t>（多现场和临时现场）</w:t>
            </w:r>
          </w:p>
        </w:tc>
        <w:tc>
          <w:tcPr>
            <w:tcW w:w="670" w:type="dxa"/>
            <w:shd w:val="clear" w:color="auto" w:fill="F3F3F3"/>
            <w:tcMar>
              <w:left w:w="57" w:type="dxa"/>
              <w:right w:w="57" w:type="dxa"/>
            </w:tcMar>
          </w:tcPr>
          <w:p>
            <w:r>
              <w:rPr>
                <w:rFonts w:hint="eastAsia"/>
              </w:rPr>
              <w:t>员工人数</w:t>
            </w:r>
          </w:p>
        </w:tc>
        <w:tc>
          <w:tcPr>
            <w:tcW w:w="2980" w:type="dxa"/>
            <w:shd w:val="clear" w:color="auto" w:fill="F3F3F3"/>
            <w:tcMar>
              <w:left w:w="57" w:type="dxa"/>
              <w:right w:w="57" w:type="dxa"/>
            </w:tcMar>
          </w:tcPr>
          <w:p>
            <w:r>
              <w:rPr>
                <w:rFonts w:hint="eastAsia"/>
              </w:rPr>
              <w:t>审核范围（产品和过程）</w:t>
            </w:r>
          </w:p>
          <w:p/>
          <w:p/>
        </w:tc>
        <w:tc>
          <w:tcPr>
            <w:tcW w:w="20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647" w:type="dxa"/>
            <w:vAlign w:val="center"/>
          </w:tcPr>
          <w:p>
            <w:pPr>
              <w:rPr>
                <w:lang w:eastAsia="ja-JP"/>
              </w:rPr>
            </w:pPr>
            <w:r>
              <w:rPr>
                <w:rFonts w:hint="eastAsia"/>
                <w:lang w:eastAsia="ja-JP"/>
              </w:rPr>
              <w:t>01</w:t>
            </w:r>
          </w:p>
        </w:tc>
        <w:tc>
          <w:tcPr>
            <w:tcW w:w="1436" w:type="dxa"/>
          </w:tcPr>
          <w:p>
            <w:pPr>
              <w:rPr>
                <w:rFonts w:hint="eastAsia" w:eastAsia="宋体"/>
                <w:lang w:val="en-US" w:eastAsia="zh-CN"/>
              </w:rPr>
            </w:pPr>
            <w:r>
              <w:t>上海店李贸易有限公司</w:t>
            </w:r>
            <w:r>
              <w:rPr>
                <w:rFonts w:hint="eastAsia"/>
                <w:lang w:val="en-US" w:eastAsia="zh-CN"/>
              </w:rPr>
              <w:t>/</w:t>
            </w:r>
            <w:r>
              <w:t>上海闵行区新镇路1509弄3号302-B22室</w:t>
            </w:r>
          </w:p>
        </w:tc>
        <w:tc>
          <w:tcPr>
            <w:tcW w:w="1420" w:type="dxa"/>
          </w:tcPr>
          <w:p>
            <w:pPr>
              <w:rPr>
                <w:lang w:val="de-DE" w:eastAsia="ja-JP"/>
              </w:rPr>
            </w:pPr>
            <w:r>
              <w:t>上海闵行区曲吴路589号6号楼301室</w:t>
            </w:r>
          </w:p>
        </w:tc>
        <w:tc>
          <w:tcPr>
            <w:tcW w:w="670" w:type="dxa"/>
            <w:vAlign w:val="center"/>
          </w:tcPr>
          <w:p>
            <w:pPr>
              <w:rPr>
                <w:rFonts w:hint="default" w:eastAsia="宋体"/>
                <w:lang w:val="en-US" w:eastAsia="zh-CN"/>
              </w:rPr>
            </w:pPr>
            <w:r>
              <w:rPr>
                <w:rFonts w:hint="eastAsia"/>
                <w:lang w:val="en-US" w:eastAsia="zh-CN"/>
              </w:rPr>
              <w:t>15</w:t>
            </w:r>
          </w:p>
        </w:tc>
        <w:tc>
          <w:tcPr>
            <w:tcW w:w="2980" w:type="dxa"/>
            <w:vAlign w:val="center"/>
          </w:tcPr>
          <w:p>
            <w:r>
              <w:t>E：许可范围内的腐蚀品（碱性腐蚀品、酸性腐蚀品及其他腐蚀品包含水处理剂）的销售所涉及场所的相关环境管理活动。</w:t>
            </w:r>
          </w:p>
          <w:p>
            <w:pPr>
              <w:rPr>
                <w:lang w:eastAsia="ja-JP"/>
              </w:rPr>
            </w:pPr>
            <w:r>
              <w:t>O：许可范围内的腐蚀品（碱性腐蚀品、酸性腐蚀品及其他腐蚀品包含水处理剂）的销售所涉及场所的相关职业健康安全管理活动。</w:t>
            </w:r>
          </w:p>
        </w:tc>
        <w:tc>
          <w:tcPr>
            <w:tcW w:w="2071" w:type="dxa"/>
            <w:vAlign w:val="center"/>
          </w:tcPr>
          <w:p>
            <w:pPr>
              <w:jc w:val="left"/>
              <w:rPr>
                <w:rFonts w:hint="eastAsia"/>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jc w:val="left"/>
              <w:rPr>
                <w:lang w:val="de-DE"/>
              </w:rPr>
            </w:pP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pPr>
              <w:rPr>
                <w:rFonts w:hint="eastAsia" w:eastAsia="宋体"/>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436" w:type="dxa"/>
            <w:vAlign w:val="center"/>
          </w:tcPr>
          <w:p>
            <w:pPr>
              <w:rPr>
                <w:lang w:eastAsia="ja-JP"/>
              </w:rPr>
            </w:pPr>
          </w:p>
        </w:tc>
        <w:tc>
          <w:tcPr>
            <w:tcW w:w="1420" w:type="dxa"/>
            <w:vAlign w:val="center"/>
          </w:tcPr>
          <w:p>
            <w:pPr>
              <w:rPr>
                <w:lang w:eastAsia="ja-JP"/>
              </w:rPr>
            </w:pPr>
          </w:p>
        </w:tc>
        <w:tc>
          <w:tcPr>
            <w:tcW w:w="670" w:type="dxa"/>
            <w:vAlign w:val="center"/>
          </w:tcPr>
          <w:p>
            <w:pPr>
              <w:rPr>
                <w:lang w:eastAsia="ja-JP"/>
              </w:rPr>
            </w:pPr>
          </w:p>
        </w:tc>
        <w:tc>
          <w:tcPr>
            <w:tcW w:w="2980" w:type="dxa"/>
            <w:vAlign w:val="center"/>
          </w:tcPr>
          <w:p>
            <w:pPr>
              <w:rPr>
                <w:lang w:eastAsia="ja-JP"/>
              </w:rPr>
            </w:pPr>
          </w:p>
        </w:tc>
        <w:tc>
          <w:tcPr>
            <w:tcW w:w="20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436" w:type="dxa"/>
            <w:vAlign w:val="center"/>
          </w:tcPr>
          <w:p>
            <w:pPr>
              <w:rPr>
                <w:lang w:eastAsia="ja-JP"/>
              </w:rPr>
            </w:pPr>
          </w:p>
        </w:tc>
        <w:tc>
          <w:tcPr>
            <w:tcW w:w="1420" w:type="dxa"/>
            <w:vAlign w:val="center"/>
          </w:tcPr>
          <w:p>
            <w:pPr>
              <w:rPr>
                <w:lang w:eastAsia="ja-JP"/>
              </w:rPr>
            </w:pPr>
          </w:p>
        </w:tc>
        <w:tc>
          <w:tcPr>
            <w:tcW w:w="670" w:type="dxa"/>
            <w:vAlign w:val="center"/>
          </w:tcPr>
          <w:p>
            <w:pPr>
              <w:rPr>
                <w:lang w:eastAsia="ja-JP"/>
              </w:rPr>
            </w:pPr>
          </w:p>
        </w:tc>
        <w:tc>
          <w:tcPr>
            <w:tcW w:w="2980" w:type="dxa"/>
            <w:vAlign w:val="center"/>
          </w:tcPr>
          <w:p>
            <w:pPr>
              <w:rPr>
                <w:lang w:eastAsia="ja-JP"/>
              </w:rPr>
            </w:pPr>
          </w:p>
        </w:tc>
        <w:tc>
          <w:tcPr>
            <w:tcW w:w="20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436" w:type="dxa"/>
            <w:vAlign w:val="center"/>
          </w:tcPr>
          <w:p>
            <w:pPr>
              <w:rPr>
                <w:lang w:eastAsia="ja-JP"/>
              </w:rPr>
            </w:pPr>
          </w:p>
        </w:tc>
        <w:tc>
          <w:tcPr>
            <w:tcW w:w="1420" w:type="dxa"/>
            <w:vAlign w:val="center"/>
          </w:tcPr>
          <w:p>
            <w:pPr>
              <w:rPr>
                <w:lang w:eastAsia="ja-JP"/>
              </w:rPr>
            </w:pPr>
          </w:p>
        </w:tc>
        <w:tc>
          <w:tcPr>
            <w:tcW w:w="670" w:type="dxa"/>
            <w:vAlign w:val="center"/>
          </w:tcPr>
          <w:p>
            <w:pPr>
              <w:rPr>
                <w:lang w:eastAsia="ja-JP"/>
              </w:rPr>
            </w:pPr>
          </w:p>
        </w:tc>
        <w:tc>
          <w:tcPr>
            <w:tcW w:w="2980" w:type="dxa"/>
            <w:vAlign w:val="center"/>
          </w:tcPr>
          <w:p>
            <w:pPr>
              <w:rPr>
                <w:lang w:eastAsia="ja-JP"/>
              </w:rPr>
            </w:pPr>
          </w:p>
        </w:tc>
        <w:tc>
          <w:tcPr>
            <w:tcW w:w="20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436" w:type="dxa"/>
            <w:vAlign w:val="center"/>
          </w:tcPr>
          <w:p>
            <w:pPr>
              <w:rPr>
                <w:lang w:eastAsia="ja-JP"/>
              </w:rPr>
            </w:pPr>
          </w:p>
        </w:tc>
        <w:tc>
          <w:tcPr>
            <w:tcW w:w="1420" w:type="dxa"/>
            <w:vAlign w:val="center"/>
          </w:tcPr>
          <w:p>
            <w:pPr>
              <w:rPr>
                <w:lang w:eastAsia="ja-JP"/>
              </w:rPr>
            </w:pPr>
          </w:p>
        </w:tc>
        <w:tc>
          <w:tcPr>
            <w:tcW w:w="670" w:type="dxa"/>
            <w:vAlign w:val="center"/>
          </w:tcPr>
          <w:p>
            <w:pPr>
              <w:rPr>
                <w:lang w:eastAsia="ja-JP"/>
              </w:rPr>
            </w:pPr>
          </w:p>
        </w:tc>
        <w:tc>
          <w:tcPr>
            <w:tcW w:w="2980" w:type="dxa"/>
            <w:vAlign w:val="center"/>
          </w:tcPr>
          <w:p>
            <w:pPr>
              <w:rPr>
                <w:lang w:eastAsia="ja-JP"/>
              </w:rPr>
            </w:pPr>
          </w:p>
        </w:tc>
        <w:tc>
          <w:tcPr>
            <w:tcW w:w="207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A3"/>
            </w:r>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2020-N1EMS-3059501</w:t>
            </w:r>
          </w:p>
          <w:p>
            <w:r>
              <w:t>2022-N1OHSMS-3059501</w:t>
            </w:r>
          </w:p>
        </w:tc>
        <w:tc>
          <w:tcPr>
            <w:tcW w:w="2179" w:type="dxa"/>
            <w:vAlign w:val="center"/>
          </w:tcPr>
          <w:p>
            <w:r>
              <w:t>E:29.11.05</w:t>
            </w:r>
          </w:p>
          <w:p>
            <w: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（见□QMS□EcMS</w:t>
      </w:r>
      <w:r>
        <w:rPr>
          <w:rFonts w:hint="eastAsia"/>
          <w:lang w:val="en-US" w:eastAsia="zh-CN"/>
        </w:rPr>
        <w:t>■</w:t>
      </w:r>
      <w:r>
        <w:rPr>
          <w:rFonts w:hint="eastAsia"/>
        </w:rPr>
        <w:t>EMS</w:t>
      </w:r>
      <w:r>
        <w:rPr>
          <w:rFonts w:hint="eastAsia"/>
          <w:lang w:val="en-US"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en-US"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en-US"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val="en-US"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val="en-US"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E勾选Add2"/>
            <w:r>
              <w:rPr>
                <w:rFonts w:hint="eastAsia"/>
              </w:rPr>
              <w:t>■</w:t>
            </w:r>
            <w:bookmarkEnd w:id="2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S勾选Add2"/>
            <w:r>
              <w:rPr>
                <w:rFonts w:hint="eastAsia"/>
              </w:rPr>
              <w:t>■</w:t>
            </w:r>
            <w:bookmarkEnd w:id="2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在完成纠正措施后推荐保持认证注册(</w:t>
            </w:r>
            <w:r>
              <w:rPr>
                <w:rFonts w:hint="eastAsia"/>
                <w:lang w:val="en-US"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val="en-US"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19050</wp:posOffset>
                  </wp:positionH>
                  <wp:positionV relativeFrom="paragraph">
                    <wp:posOffset>43180</wp:posOffset>
                  </wp:positionV>
                  <wp:extent cx="1035685" cy="676275"/>
                  <wp:effectExtent l="0" t="0" r="5715" b="9525"/>
                  <wp:wrapSquare wrapText="bothSides"/>
                  <wp:docPr id="1" name="图片 1"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底"/>
                          <pic:cNvPicPr>
                            <a:picLocks noChangeAspect="1"/>
                          </pic:cNvPicPr>
                        </pic:nvPicPr>
                        <pic:blipFill>
                          <a:blip r:embed="rId6"/>
                          <a:stretch>
                            <a:fillRect/>
                          </a:stretch>
                        </pic:blipFill>
                        <pic:spPr>
                          <a:xfrm>
                            <a:off x="0" y="0"/>
                            <a:ext cx="1035685" cy="676275"/>
                          </a:xfrm>
                          <a:prstGeom prst="rect">
                            <a:avLst/>
                          </a:prstGeom>
                        </pic:spPr>
                      </pic:pic>
                    </a:graphicData>
                  </a:graphic>
                </wp:anchor>
              </w:drawing>
            </w:r>
          </w:p>
          <w:p>
            <w:pPr>
              <w:rPr>
                <w:rFonts w:hint="eastAsia" w:eastAsia="宋体"/>
                <w:lang w:eastAsia="zh-CN"/>
              </w:rPr>
            </w:pP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2022.8.15</w:t>
            </w:r>
          </w:p>
        </w:tc>
      </w:tr>
    </w:tbl>
    <w:p/>
    <w:p/>
    <w:p>
      <w:r>
        <w:rPr>
          <w:rFonts w:hint="eastAsia"/>
        </w:rPr>
        <w:t>十四、审核报告的发放范围：</w:t>
      </w:r>
    </w:p>
    <w:p>
      <w:r>
        <w:rPr>
          <w:rFonts w:hint="eastAsia"/>
        </w:rPr>
        <w:t>受审核方(含附件)：1份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华文细黑" w:hAnsi="华文细黑" w:cs="华文细黑"/>
                <w:szCs w:val="21"/>
                <w:lang w:val="en-US" w:eastAsia="zh-CN"/>
              </w:rPr>
            </w:pPr>
            <w:r>
              <w:rPr>
                <w:rFonts w:hint="eastAsia" w:ascii="华文细黑" w:hAnsi="华文细黑" w:cs="华文细黑"/>
                <w:szCs w:val="21"/>
                <w:lang w:val="en-US" w:eastAsia="zh-CN"/>
              </w:rPr>
              <w:t>保障安全  预防污染  遵守法规  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955"/>
              <w:gridCol w:w="301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gridSpan w:val="2"/>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795" w:type="dxa"/>
                  <w:gridSpan w:val="2"/>
                </w:tcPr>
                <w:p>
                  <w:pPr>
                    <w:shd w:val="clear" w:color="auto" w:fill="EBF1DE" w:themeFill="accent3" w:themeFillTint="32"/>
                    <w:rPr>
                      <w:rFonts w:hint="eastAsia"/>
                    </w:rPr>
                  </w:pPr>
                  <w:r>
                    <w:rPr>
                      <w:rFonts w:hint="eastAsia"/>
                    </w:rPr>
                    <w:t>危废（墨盒、硒鼓、灯管）排放</w:t>
                  </w:r>
                </w:p>
              </w:tc>
              <w:tc>
                <w:tcPr>
                  <w:tcW w:w="3010" w:type="dxa"/>
                </w:tcPr>
                <w:p>
                  <w:pPr>
                    <w:shd w:val="clear" w:color="auto" w:fill="EBF1DE" w:themeFill="accent3" w:themeFillTint="32"/>
                    <w:rPr>
                      <w:rFonts w:hint="eastAsia"/>
                    </w:rPr>
                  </w:pPr>
                  <w:r>
                    <w:rPr>
                      <w:rFonts w:hint="eastAsia"/>
                    </w:rPr>
                    <w:t>管理方案</w:t>
                  </w:r>
                </w:p>
              </w:tc>
              <w:tc>
                <w:tcPr>
                  <w:tcW w:w="1717" w:type="dxa"/>
                </w:tcPr>
                <w:p>
                  <w:pPr>
                    <w:shd w:val="clear" w:color="auto" w:fill="EBF1DE" w:themeFill="accent3" w:themeFillTint="32"/>
                    <w:rPr>
                      <w:rFonts w:hint="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5" w:type="dxa"/>
                  <w:gridSpan w:val="2"/>
                </w:tcPr>
                <w:p>
                  <w:pPr>
                    <w:shd w:val="clear" w:color="auto" w:fill="EBF1DE" w:themeFill="accent3" w:themeFillTint="32"/>
                    <w:rPr>
                      <w:rFonts w:hint="eastAsia"/>
                    </w:rPr>
                  </w:pPr>
                  <w:r>
                    <w:rPr>
                      <w:rFonts w:hint="eastAsia"/>
                    </w:rPr>
                    <w:t>火灾发生</w:t>
                  </w:r>
                </w:p>
              </w:tc>
              <w:tc>
                <w:tcPr>
                  <w:tcW w:w="3010" w:type="dxa"/>
                </w:tcPr>
                <w:p>
                  <w:pPr>
                    <w:shd w:val="clear" w:color="auto" w:fill="EBF1DE" w:themeFill="accent3" w:themeFillTint="32"/>
                    <w:rPr>
                      <w:rFonts w:hint="eastAsia"/>
                    </w:rPr>
                  </w:pPr>
                  <w:r>
                    <w:rPr>
                      <w:rFonts w:hint="eastAsia"/>
                    </w:rPr>
                    <w:t>管理方案</w:t>
                  </w:r>
                </w:p>
              </w:tc>
              <w:tc>
                <w:tcPr>
                  <w:tcW w:w="1717" w:type="dxa"/>
                </w:tcPr>
                <w:p>
                  <w:pPr>
                    <w:shd w:val="clear" w:color="auto" w:fill="EBF1DE" w:themeFill="accent3" w:themeFillTint="32"/>
                    <w:rPr>
                      <w:rFonts w:hint="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5" w:type="dxa"/>
                  <w:gridSpan w:val="2"/>
                </w:tcPr>
                <w:p>
                  <w:pPr>
                    <w:shd w:val="clear" w:color="auto" w:fill="EBF1DE" w:themeFill="accent3" w:themeFillTint="32"/>
                    <w:rPr>
                      <w:rFonts w:hint="eastAsia"/>
                    </w:rPr>
                  </w:pPr>
                  <w:r>
                    <w:rPr>
                      <w:rFonts w:hint="eastAsia"/>
                    </w:rPr>
                    <w:t>能源、资源的消耗</w:t>
                  </w:r>
                </w:p>
              </w:tc>
              <w:tc>
                <w:tcPr>
                  <w:tcW w:w="3010" w:type="dxa"/>
                </w:tcPr>
                <w:p>
                  <w:pPr>
                    <w:shd w:val="clear" w:color="auto" w:fill="EBF1DE" w:themeFill="accent3" w:themeFillTint="32"/>
                    <w:rPr>
                      <w:rFonts w:hint="eastAsia"/>
                    </w:rPr>
                  </w:pPr>
                  <w:r>
                    <w:rPr>
                      <w:rFonts w:hint="eastAsia"/>
                    </w:rPr>
                    <w:t>按管理制度</w:t>
                  </w:r>
                </w:p>
              </w:tc>
              <w:tc>
                <w:tcPr>
                  <w:tcW w:w="1717" w:type="dxa"/>
                </w:tcPr>
                <w:p>
                  <w:pPr>
                    <w:shd w:val="clear" w:color="auto" w:fill="EBF1DE" w:themeFill="accent3" w:themeFillTint="32"/>
                    <w:rPr>
                      <w:rFonts w:hint="eastAsi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办公固废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jc w:val="both"/>
                    <w:rPr>
                      <w:rFonts w:hint="eastAsia" w:eastAsia="黑体"/>
                      <w:lang w:val="en-US" w:eastAsia="zh-CN"/>
                    </w:rPr>
                  </w:pPr>
                  <w:r>
                    <w:rPr>
                      <w:rFonts w:hint="eastAsia" w:ascii="宋体" w:hAnsi="宋体"/>
                    </w:rPr>
                    <w:t>各类废弃物按规定处置率100%</w:t>
                  </w:r>
                </w:p>
              </w:tc>
              <w:tc>
                <w:tcPr>
                  <w:tcW w:w="3136" w:type="dxa"/>
                  <w:shd w:val="clear" w:color="auto" w:fill="auto"/>
                  <w:vAlign w:val="center"/>
                </w:tcPr>
                <w:p>
                  <w:pPr>
                    <w:shd w:val="clear" w:color="auto" w:fill="EBF1DE" w:themeFill="accent3" w:themeFillTint="32"/>
                    <w:jc w:val="both"/>
                    <w:rPr>
                      <w:rFonts w:hint="eastAsia"/>
                      <w:lang w:val="en-GB"/>
                    </w:rPr>
                  </w:pPr>
                  <w:r>
                    <w:rPr>
                      <w:rFonts w:hint="eastAsia"/>
                      <w:lang w:val="en-GB"/>
                    </w:rPr>
                    <w:t>1、落实固体废弃物管理责任制，严格管理。</w:t>
                  </w:r>
                </w:p>
                <w:p>
                  <w:pPr>
                    <w:shd w:val="clear" w:color="auto" w:fill="EBF1DE" w:themeFill="accent3" w:themeFillTint="32"/>
                    <w:jc w:val="both"/>
                    <w:rPr>
                      <w:rFonts w:hint="eastAsia"/>
                      <w:lang w:val="en-GB"/>
                    </w:rPr>
                  </w:pPr>
                  <w:r>
                    <w:rPr>
                      <w:rFonts w:hint="eastAsia"/>
                      <w:lang w:val="en-GB"/>
                    </w:rPr>
                    <w:t>2、加强检查、巡视，发现不合格及时采取纠正和预防措施。</w:t>
                  </w:r>
                </w:p>
                <w:p>
                  <w:pPr>
                    <w:shd w:val="clear" w:color="auto" w:fill="EBF1DE" w:themeFill="accent3" w:themeFillTint="32"/>
                    <w:jc w:val="both"/>
                    <w:rPr>
                      <w:rFonts w:hint="eastAsia"/>
                      <w:lang w:val="en-GB"/>
                    </w:rPr>
                  </w:pPr>
                  <w:r>
                    <w:rPr>
                      <w:rFonts w:hint="eastAsia"/>
                      <w:lang w:val="en-GB"/>
                    </w:rPr>
                    <w:t>3、严格按可回收、不可回收和危废分类处理；合理划分可回收、不可回收和危废的临时存放区域。</w:t>
                  </w:r>
                </w:p>
                <w:p>
                  <w:pPr>
                    <w:shd w:val="clear" w:color="auto" w:fill="EBF1DE" w:themeFill="accent3" w:themeFillTint="32"/>
                    <w:jc w:val="both"/>
                    <w:rPr>
                      <w:lang w:val="en-GB"/>
                    </w:rPr>
                  </w:pPr>
                  <w:r>
                    <w:rPr>
                      <w:rFonts w:hint="eastAsia"/>
                      <w:lang w:val="en-GB"/>
                    </w:rPr>
                    <w:t>4、与相关方加强沟通和施加影响，如向外来人员宣传环境保护要求，与垃圾处理、环境保护部门加强沟通，及时清运。</w:t>
                  </w:r>
                </w:p>
              </w:tc>
              <w:tc>
                <w:tcPr>
                  <w:tcW w:w="1350" w:type="dxa"/>
                  <w:shd w:val="clear" w:color="auto" w:fill="auto"/>
                  <w:vAlign w:val="center"/>
                </w:tcPr>
                <w:p>
                  <w:pPr>
                    <w:shd w:val="clear" w:color="auto" w:fill="EBF1DE" w:themeFill="accent3" w:themeFillTint="32"/>
                    <w:jc w:val="both"/>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both"/>
                    <w:rPr>
                      <w:rFonts w:hint="default" w:ascii="宋体" w:hAnsi="宋体" w:eastAsia="宋体"/>
                      <w:lang w:val="en-US" w:eastAsia="zh-CN"/>
                    </w:rPr>
                  </w:pPr>
                  <w:r>
                    <w:rPr>
                      <w:rFonts w:hint="eastAsia" w:ascii="宋体" w:hAnsi="宋体"/>
                      <w:lang w:val="en-US" w:eastAsia="zh-CN"/>
                    </w:rPr>
                    <w:t>100%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w:t>
            </w:r>
            <w:r>
              <w:rPr>
                <w:rFonts w:hint="eastAsia"/>
                <w:lang w:val="en-US" w:eastAsia="zh-CN"/>
              </w:rPr>
              <w:t>100多平</w:t>
            </w:r>
            <w:r>
              <w:rPr>
                <w:rFonts w:hint="eastAsia"/>
              </w:rPr>
              <w:t>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default" w:eastAsia="宋体"/>
                <w:highlight w:val="yellow"/>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制度规范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节水节电</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落实消防工作责任制，严格管理。每月对消防设施进行检查，发现不合格消防设施及时更新</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协同厂家处理</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w:t>
            </w:r>
            <w:r>
              <w:rPr>
                <w:rFonts w:hint="eastAsia"/>
                <w:lang w:val="en-US" w:eastAsia="zh-CN"/>
              </w:rPr>
              <w:t>2022年5</w:t>
            </w:r>
            <w:r>
              <w:rPr>
                <w:rFonts w:hint="eastAsia"/>
              </w:rPr>
              <w:t>月</w:t>
            </w:r>
            <w:r>
              <w:rPr>
                <w:rFonts w:hint="eastAsia"/>
                <w:lang w:val="en-US" w:eastAsia="zh-CN"/>
              </w:rPr>
              <w:t>18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default" w:eastAsia="宋体"/>
                <w:lang w:val="en-US" w:eastAsia="zh-CN"/>
              </w:rPr>
            </w:pPr>
            <w:r>
              <w:rPr>
                <w:rFonts w:hint="eastAsia"/>
              </w:rPr>
              <w:t>实施合规性评价的时间：</w:t>
            </w:r>
            <w:r>
              <w:rPr>
                <w:rFonts w:hint="eastAsia"/>
                <w:lang w:val="en-US" w:eastAsia="zh-CN"/>
              </w:rPr>
              <w:t>2022.1.14</w:t>
            </w:r>
          </w:p>
          <w:p>
            <w:pPr>
              <w:shd w:val="clear" w:color="auto" w:fill="EBF1DE" w:themeFill="accent3" w:themeFillTint="32"/>
            </w:pPr>
            <w:r>
              <w:rPr>
                <w:rFonts w:hint="eastAsia" w:ascii="Wingdings" w:hAnsi="Wingdings"/>
                <w:lang w:eastAsia="zh-CN"/>
              </w:rPr>
              <w:sym w:font="Wingdings 2" w:char="00A3"/>
            </w:r>
            <w:r>
              <w:rPr>
                <w:rFonts w:hint="eastAsia"/>
              </w:rPr>
              <w:t>定期（每年）：</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default" w:eastAsia="宋体"/>
                <w:lang w:val="en-US" w:eastAsia="zh-CN"/>
              </w:rPr>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sym w:font="Wingdings 2" w:char="00A3"/>
            </w:r>
            <w:r>
              <w:rPr>
                <w:rFonts w:hint="eastAsia"/>
              </w:rPr>
              <w:t>其他</w:t>
            </w:r>
            <w:r>
              <w:rPr>
                <w:rFonts w:hint="eastAsia"/>
                <w:lang w:eastAsia="zh-CN"/>
              </w:rPr>
              <w:t>：</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w:t>
            </w:r>
            <w:r>
              <w:rPr>
                <w:rFonts w:hint="eastAsia"/>
              </w:rPr>
              <w:sym w:font="Wingdings 2" w:char="00A3"/>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华文细黑" w:hAnsi="华文细黑" w:cs="华文细黑"/>
                <w:szCs w:val="21"/>
                <w:lang w:val="en-US" w:eastAsia="zh-CN"/>
              </w:rPr>
            </w:pPr>
            <w:r>
              <w:rPr>
                <w:rFonts w:hint="eastAsia" w:ascii="华文细黑" w:hAnsi="华文细黑" w:cs="华文细黑"/>
                <w:szCs w:val="21"/>
                <w:lang w:val="en-US" w:eastAsia="zh-CN"/>
              </w:rPr>
              <w:t>保障安全  预防污染  遵守法规  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陈瑾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rPr>
                    <w:t>办公场所电线老化、乱拉乱接</w:t>
                  </w:r>
                </w:p>
              </w:tc>
              <w:tc>
                <w:tcPr>
                  <w:tcW w:w="3965" w:type="dxa"/>
                </w:tcPr>
                <w:p>
                  <w:pPr>
                    <w:rPr>
                      <w:rFonts w:hint="eastAsia"/>
                    </w:rPr>
                  </w:pPr>
                  <w:r>
                    <w:rPr>
                      <w:rFonts w:hint="eastAsia"/>
                    </w:rPr>
                    <w:t>完善用电管理制度，做好应急响应工作</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rPr>
                    <w:t>业务人员出差途中发生交通事故</w:t>
                  </w:r>
                </w:p>
              </w:tc>
              <w:tc>
                <w:tcPr>
                  <w:tcW w:w="3965" w:type="dxa"/>
                </w:tcPr>
                <w:p>
                  <w:pPr>
                    <w:rPr>
                      <w:rFonts w:hint="eastAsia"/>
                    </w:rPr>
                  </w:pPr>
                  <w:r>
                    <w:rPr>
                      <w:rFonts w:hint="eastAsia"/>
                    </w:rPr>
                    <w:t>遵守交通规则、加强自我保护意识</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rPr>
                    <w:t>潜在的火灾</w:t>
                  </w:r>
                </w:p>
              </w:tc>
              <w:tc>
                <w:tcPr>
                  <w:tcW w:w="3965" w:type="dxa"/>
                </w:tcPr>
                <w:p>
                  <w:pPr>
                    <w:rPr>
                      <w:rFonts w:hint="eastAsia"/>
                    </w:rPr>
                  </w:pPr>
                  <w:r>
                    <w:rPr>
                      <w:rFonts w:hint="eastAsia"/>
                    </w:rPr>
                    <w:t>加强消防检查、火灾应急预案等</w:t>
                  </w:r>
                </w:p>
              </w:tc>
              <w:tc>
                <w:tcPr>
                  <w:tcW w:w="1717" w:type="dxa"/>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w:t>
            </w:r>
            <w:r>
              <w:rPr>
                <w:rFonts w:hint="eastAsia"/>
              </w:rPr>
              <w:sym w:font="Wingdings 2" w:char="00A3"/>
            </w:r>
            <w:r>
              <w:rPr>
                <w:rFonts w:hint="eastAsia"/>
              </w:rPr>
              <w:t>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3372"/>
              <w:gridCol w:w="158"/>
              <w:gridCol w:w="1192"/>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tcPr>
                <w:p>
                  <w:pPr>
                    <w:rPr>
                      <w:rFonts w:ascii="宋体" w:hAnsi="宋体"/>
                    </w:rPr>
                  </w:pPr>
                  <w:r>
                    <w:rPr>
                      <w:rFonts w:hint="eastAsia"/>
                    </w:rPr>
                    <w:t>职业健康安全</w:t>
                  </w:r>
                  <w:r>
                    <w:rPr>
                      <w:rFonts w:hint="eastAsia" w:ascii="宋体" w:hAnsi="宋体"/>
                    </w:rPr>
                    <w:t>目标</w:t>
                  </w:r>
                </w:p>
              </w:tc>
              <w:tc>
                <w:tcPr>
                  <w:tcW w:w="3372" w:type="dxa"/>
                  <w:shd w:val="clear" w:color="auto" w:fill="auto"/>
                </w:tcPr>
                <w:p>
                  <w:pPr>
                    <w:rPr>
                      <w:rFonts w:ascii="宋体" w:hAnsi="宋体"/>
                    </w:rPr>
                  </w:pPr>
                  <w:r>
                    <w:rPr>
                      <w:rFonts w:hint="eastAsia" w:ascii="宋体" w:hAnsi="宋体"/>
                    </w:rPr>
                    <w:t>控制措施</w:t>
                  </w:r>
                </w:p>
              </w:tc>
              <w:tc>
                <w:tcPr>
                  <w:tcW w:w="1350" w:type="dxa"/>
                  <w:gridSpan w:val="2"/>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tcPr>
                <w:p>
                  <w:pPr>
                    <w:rPr>
                      <w:rFonts w:hint="eastAsia"/>
                      <w:lang w:val="en-US" w:eastAsia="zh-CN"/>
                    </w:rPr>
                  </w:pPr>
                  <w:r>
                    <w:rPr>
                      <w:rFonts w:hint="eastAsia"/>
                      <w:lang w:val="en-US" w:eastAsia="zh-CN"/>
                    </w:rPr>
                    <w:t>确保员工职业健康安全。</w:t>
                  </w:r>
                </w:p>
                <w:p>
                  <w:pPr>
                    <w:rPr>
                      <w:rFonts w:hint="eastAsia"/>
                      <w:lang w:val="en-US" w:eastAsia="zh-CN"/>
                    </w:rPr>
                  </w:pPr>
                </w:p>
              </w:tc>
              <w:tc>
                <w:tcPr>
                  <w:tcW w:w="3530" w:type="dxa"/>
                  <w:gridSpan w:val="2"/>
                  <w:shd w:val="clear" w:color="auto" w:fill="auto"/>
                  <w:vAlign w:val="center"/>
                </w:tcPr>
                <w:p>
                  <w:pPr>
                    <w:rPr>
                      <w:rFonts w:hint="eastAsia"/>
                      <w:lang w:val="en-US" w:eastAsia="zh-CN"/>
                    </w:rPr>
                  </w:pPr>
                  <w:bookmarkStart w:id="22" w:name="OLE_LINK1"/>
                  <w:r>
                    <w:rPr>
                      <w:rFonts w:hint="eastAsia"/>
                      <w:lang w:val="en-US" w:eastAsia="zh-CN"/>
                    </w:rPr>
                    <w:t>1.成立安全领导小组，监督日常安全工作；</w:t>
                  </w:r>
                </w:p>
                <w:p>
                  <w:pPr>
                    <w:rPr>
                      <w:rFonts w:hint="eastAsia"/>
                      <w:lang w:val="en-US" w:eastAsia="zh-CN"/>
                    </w:rPr>
                  </w:pPr>
                  <w:r>
                    <w:rPr>
                      <w:rFonts w:hint="eastAsia"/>
                      <w:lang w:val="en-US" w:eastAsia="zh-CN"/>
                    </w:rPr>
                    <w:t>2.落实消防工作责任制，严格管理。每月对消防设施进行检查，发现不合格消防设施及时更新；</w:t>
                  </w:r>
                </w:p>
                <w:p>
                  <w:pPr>
                    <w:rPr>
                      <w:rFonts w:hint="eastAsia"/>
                      <w:lang w:val="en-US" w:eastAsia="zh-CN"/>
                    </w:rPr>
                  </w:pPr>
                  <w:r>
                    <w:rPr>
                      <w:rFonts w:hint="eastAsia"/>
                      <w:lang w:val="en-US" w:eastAsia="zh-CN"/>
                    </w:rPr>
                    <w:t>3.加强检查、巡视，发现隐患及时采取纠正和预防措施；</w:t>
                  </w:r>
                </w:p>
                <w:p>
                  <w:pPr>
                    <w:rPr>
                      <w:rFonts w:hint="eastAsia"/>
                      <w:lang w:val="en-US" w:eastAsia="zh-CN"/>
                    </w:rPr>
                  </w:pPr>
                  <w:r>
                    <w:rPr>
                      <w:rFonts w:hint="eastAsia"/>
                      <w:lang w:val="en-US" w:eastAsia="zh-CN"/>
                    </w:rPr>
                    <w:t>4.加强对员工防火意识教育，严禁在禁止吸烟处吸烟；</w:t>
                  </w:r>
                </w:p>
                <w:p>
                  <w:pPr>
                    <w:rPr>
                      <w:rFonts w:hint="eastAsia"/>
                      <w:lang w:val="en-US" w:eastAsia="zh-CN"/>
                    </w:rPr>
                  </w:pPr>
                  <w:r>
                    <w:rPr>
                      <w:rFonts w:hint="eastAsia"/>
                      <w:lang w:val="en-US" w:eastAsia="zh-CN"/>
                    </w:rPr>
                    <w:t>5.各种用电设备和线路应符合国家有关安全规定，应有可熔保险和漏电保护，绝缘性能必须良好，并有可靠的接地零保护措施等；</w:t>
                  </w:r>
                </w:p>
                <w:p>
                  <w:pPr>
                    <w:rPr>
                      <w:rFonts w:hint="eastAsia"/>
                      <w:lang w:val="en-US" w:eastAsia="zh-CN"/>
                    </w:rPr>
                  </w:pPr>
                  <w:r>
                    <w:rPr>
                      <w:rFonts w:hint="eastAsia"/>
                      <w:lang w:val="en-US" w:eastAsia="zh-CN"/>
                    </w:rPr>
                    <w:t>6.每年按规定进行员工体检；</w:t>
                  </w:r>
                </w:p>
                <w:p>
                  <w:pPr>
                    <w:rPr>
                      <w:rFonts w:hint="eastAsia"/>
                      <w:lang w:val="en-GB" w:eastAsia="zh-CN"/>
                    </w:rPr>
                  </w:pPr>
                  <w:r>
                    <w:rPr>
                      <w:rFonts w:hint="eastAsia"/>
                      <w:lang w:val="en-US" w:eastAsia="zh-CN"/>
                    </w:rPr>
                    <w:t>7.加强对员工交通法规的宣传和自我保护意识等。</w:t>
                  </w:r>
                  <w:bookmarkEnd w:id="22"/>
                </w:p>
              </w:tc>
              <w:tc>
                <w:tcPr>
                  <w:tcW w:w="1192"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无安全健康事故发生</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100多</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A3"/>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default" w:eastAsia="宋体"/>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制度规范</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A3"/>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tcPr>
                <w:p>
                  <w:pPr>
                    <w:jc w:val="left"/>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消防控制</w:t>
                  </w:r>
                </w:p>
              </w:tc>
              <w:tc>
                <w:tcPr>
                  <w:tcW w:w="2205" w:type="dxa"/>
                </w:tcPr>
                <w:p>
                  <w:pPr>
                    <w:jc w:val="left"/>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A3"/>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协同厂家处理</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2022年5</w:t>
            </w:r>
            <w:r>
              <w:rPr>
                <w:rFonts w:hint="eastAsia"/>
              </w:rPr>
              <w:t>月</w:t>
            </w:r>
            <w:r>
              <w:rPr>
                <w:rFonts w:hint="eastAsia"/>
                <w:lang w:val="en-US" w:eastAsia="zh-CN"/>
              </w:rPr>
              <w:t>18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14</w:t>
            </w:r>
            <w:r>
              <w:rPr>
                <w:rFonts w:hint="eastAsia"/>
              </w:rPr>
              <w:t>日</w:t>
            </w:r>
          </w:p>
          <w:p>
            <w:r>
              <w:rPr>
                <w:rFonts w:hint="eastAsia" w:ascii="Wingdings" w:hAnsi="Wingdings"/>
                <w:lang w:eastAsia="zh-CN"/>
              </w:rPr>
              <w:sym w:font="Wingdings 2" w:char="00A3"/>
            </w:r>
            <w:r>
              <w:rPr>
                <w:rFonts w:hint="eastAsia"/>
              </w:rPr>
              <w:t>定期（每年）：</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bookmarkStart w:id="23" w:name="_GoBack"/>
            <w:bookmarkEnd w:id="23"/>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00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2184B64"/>
    <w:rsid w:val="04A954D0"/>
    <w:rsid w:val="06420683"/>
    <w:rsid w:val="0AAD5C2A"/>
    <w:rsid w:val="147136AF"/>
    <w:rsid w:val="18AC3E29"/>
    <w:rsid w:val="199E236D"/>
    <w:rsid w:val="1FE63988"/>
    <w:rsid w:val="20D54901"/>
    <w:rsid w:val="21FE5BD1"/>
    <w:rsid w:val="290A5E25"/>
    <w:rsid w:val="2A472341"/>
    <w:rsid w:val="2CBD79E6"/>
    <w:rsid w:val="3041038A"/>
    <w:rsid w:val="347A4DBB"/>
    <w:rsid w:val="34886F48"/>
    <w:rsid w:val="39697599"/>
    <w:rsid w:val="3CBC20D5"/>
    <w:rsid w:val="3CC92CE2"/>
    <w:rsid w:val="3FBA19D1"/>
    <w:rsid w:val="48040867"/>
    <w:rsid w:val="4BDE02E1"/>
    <w:rsid w:val="4FD63DB7"/>
    <w:rsid w:val="52D84A49"/>
    <w:rsid w:val="53467DC6"/>
    <w:rsid w:val="568D0913"/>
    <w:rsid w:val="574F5BC8"/>
    <w:rsid w:val="584C2108"/>
    <w:rsid w:val="596F54C6"/>
    <w:rsid w:val="5BDD1AB8"/>
    <w:rsid w:val="5FBB045B"/>
    <w:rsid w:val="60B60A02"/>
    <w:rsid w:val="61AF0EC0"/>
    <w:rsid w:val="64023F6B"/>
    <w:rsid w:val="70417745"/>
    <w:rsid w:val="71264440"/>
    <w:rsid w:val="73AC4C34"/>
    <w:rsid w:val="77384B1F"/>
    <w:rsid w:val="779E7BB7"/>
    <w:rsid w:val="787371C8"/>
    <w:rsid w:val="7AD46261"/>
    <w:rsid w:val="7AF72E69"/>
    <w:rsid w:val="7B887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2022-08-20T05:47:32Z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