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0932-2022-E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陕西石竹能源科技有限公司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陕西石竹能源科技有限公司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陕西省咸阳市秦都区高新技术开发区西里路9号</w:t>
            </w:r>
            <w:bookmarkEnd w:id="6"/>
          </w:p>
        </w:tc>
        <w:tc>
          <w:tcPr>
            <w:tcW w:w="1242" w:type="dxa"/>
            <w:vMerge w:val="restart"/>
            <w:vAlign w:val="center"/>
          </w:tcPr>
          <w:p>
            <w:r>
              <w:rPr>
                <w:rFonts w:hint="eastAsia"/>
              </w:rPr>
              <w:t>邮编</w:t>
            </w:r>
          </w:p>
        </w:tc>
        <w:tc>
          <w:tcPr>
            <w:tcW w:w="1771" w:type="dxa"/>
          </w:tcPr>
          <w:p>
            <w:bookmarkStart w:id="7" w:name="注册邮编"/>
            <w:r>
              <w:t>712023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陕西省咸阳市秦都区高新技术开发区西里路9号</w:t>
            </w:r>
            <w:bookmarkEnd w:id="8"/>
          </w:p>
        </w:tc>
        <w:tc>
          <w:tcPr>
            <w:tcW w:w="1242" w:type="dxa"/>
            <w:vMerge w:val="continue"/>
            <w:vAlign w:val="center"/>
          </w:tcPr>
          <w:p/>
        </w:tc>
        <w:tc>
          <w:tcPr>
            <w:tcW w:w="1771" w:type="dxa"/>
          </w:tcPr>
          <w:p>
            <w:bookmarkStart w:id="9" w:name="办公邮编"/>
            <w:r>
              <w:t>712023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魏春鸽</w:t>
            </w:r>
            <w:bookmarkEnd w:id="10"/>
          </w:p>
        </w:tc>
        <w:tc>
          <w:tcPr>
            <w:tcW w:w="1313" w:type="dxa"/>
            <w:vAlign w:val="center"/>
          </w:tcPr>
          <w:p>
            <w:r>
              <w:rPr>
                <w:rFonts w:hint="eastAsia"/>
              </w:rPr>
              <w:t>电话.</w:t>
            </w:r>
          </w:p>
        </w:tc>
        <w:tc>
          <w:tcPr>
            <w:tcW w:w="2180" w:type="dxa"/>
            <w:vAlign w:val="center"/>
          </w:tcPr>
          <w:p>
            <w:bookmarkStart w:id="11" w:name="联系人电话"/>
            <w:r>
              <w:t>029-33613967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吴承灿</w:t>
            </w:r>
            <w:bookmarkEnd w:id="13"/>
          </w:p>
        </w:tc>
        <w:tc>
          <w:tcPr>
            <w:tcW w:w="1313" w:type="dxa"/>
            <w:vAlign w:val="center"/>
          </w:tcPr>
          <w:p>
            <w:r>
              <w:rPr>
                <w:rFonts w:hint="eastAsia"/>
              </w:rPr>
              <w:t>管理者代表</w:t>
            </w:r>
          </w:p>
        </w:tc>
        <w:tc>
          <w:tcPr>
            <w:tcW w:w="2180" w:type="dxa"/>
          </w:tcPr>
          <w:p>
            <w:bookmarkStart w:id="14" w:name="管理者代表"/>
            <w:r>
              <w:t>孙建新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机械加工件：下料→粗加工→精加工→检验→入库。</w:t>
            </w:r>
          </w:p>
          <w:p>
            <w:r>
              <w:rPr>
                <w:rFonts w:hint="eastAsia"/>
              </w:rPr>
              <w:t>销售过程：洽谈→签订合同→接单→采购→销售→售后服务。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2022年07月21日 下午至2022年07月22日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rPr>
              <w:t>陕西省咸阳市秦都区高新技术开发区西里路9号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金属机加工件的生产所涉及场所的相关环境管理活动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17.10.02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2019年1月1日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14-15</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31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ascii="宋体" w:hAnsi="宋体"/>
                <w:szCs w:val="21"/>
                <w:lang w:val="en-US" w:eastAsia="zh-CN"/>
              </w:rPr>
            </w:pPr>
            <w:r>
              <w:rPr>
                <w:rFonts w:hint="eastAsia" w:ascii="宋体" w:hAnsi="宋体"/>
                <w:szCs w:val="21"/>
                <w:lang w:val="en-US" w:eastAsia="zh-CN"/>
              </w:rPr>
              <w:t>陕西石竹能源科技有限公司</w:t>
            </w:r>
          </w:p>
          <w:p>
            <w:pPr>
              <w:rPr>
                <w:lang w:val="de-DE" w:eastAsia="ja-JP"/>
              </w:rPr>
            </w:pPr>
            <w:r>
              <w:rPr>
                <w:rFonts w:hint="eastAsia" w:ascii="宋体" w:hAnsi="宋体"/>
                <w:szCs w:val="21"/>
                <w:lang w:eastAsia="zh-CN"/>
              </w:rPr>
              <w:t>陕西省咸阳市</w:t>
            </w:r>
            <w:r>
              <w:rPr>
                <w:rFonts w:hint="eastAsia" w:ascii="宋体" w:hAnsi="宋体"/>
                <w:szCs w:val="21"/>
                <w:lang w:val="en-US" w:eastAsia="zh-CN"/>
              </w:rPr>
              <w:t>秦都区</w:t>
            </w:r>
            <w:r>
              <w:rPr>
                <w:rFonts w:hint="eastAsia" w:ascii="宋体" w:hAnsi="宋体"/>
                <w:szCs w:val="21"/>
                <w:lang w:eastAsia="zh-CN"/>
              </w:rPr>
              <w:t>高新技术开发区西里路</w:t>
            </w:r>
            <w:r>
              <w:rPr>
                <w:rFonts w:hint="eastAsia" w:ascii="宋体" w:hAnsi="宋体"/>
                <w:szCs w:val="21"/>
                <w:lang w:val="en-US" w:eastAsia="zh-CN"/>
              </w:rPr>
              <w:t>9号</w:t>
            </w:r>
          </w:p>
        </w:tc>
        <w:tc>
          <w:tcPr>
            <w:tcW w:w="2267" w:type="dxa"/>
            <w:vAlign w:val="top"/>
          </w:tcPr>
          <w:p>
            <w:pPr>
              <w:rPr>
                <w:lang w:val="de-DE" w:eastAsia="ja-JP"/>
              </w:rPr>
            </w:pPr>
            <w:r>
              <w:rPr>
                <w:rFonts w:hint="eastAsia" w:ascii="宋体" w:hAnsi="宋体"/>
                <w:szCs w:val="21"/>
                <w:lang w:eastAsia="zh-CN"/>
              </w:rPr>
              <w:t>陕西省咸阳市</w:t>
            </w:r>
            <w:r>
              <w:rPr>
                <w:rFonts w:hint="eastAsia" w:ascii="宋体" w:hAnsi="宋体"/>
                <w:szCs w:val="21"/>
                <w:lang w:val="en-US" w:eastAsia="zh-CN"/>
              </w:rPr>
              <w:t>秦都区</w:t>
            </w:r>
            <w:r>
              <w:rPr>
                <w:rFonts w:hint="eastAsia" w:ascii="宋体" w:hAnsi="宋体"/>
                <w:szCs w:val="21"/>
                <w:lang w:eastAsia="zh-CN"/>
              </w:rPr>
              <w:t>高新技术开发区西里路</w:t>
            </w:r>
            <w:r>
              <w:rPr>
                <w:rFonts w:hint="eastAsia" w:ascii="宋体" w:hAnsi="宋体"/>
                <w:szCs w:val="21"/>
                <w:lang w:val="en-US" w:eastAsia="zh-CN"/>
              </w:rPr>
              <w:t>9号</w:t>
            </w:r>
          </w:p>
        </w:tc>
        <w:tc>
          <w:tcPr>
            <w:tcW w:w="571" w:type="dxa"/>
            <w:vAlign w:val="center"/>
          </w:tcPr>
          <w:p>
            <w:pPr>
              <w:rPr>
                <w:lang w:eastAsia="ja-JP"/>
              </w:rPr>
            </w:pPr>
            <w:r>
              <w:rPr>
                <w:rFonts w:hint="eastAsia"/>
                <w:lang w:val="en-US" w:eastAsia="zh-CN"/>
              </w:rPr>
              <w:t>53</w:t>
            </w:r>
          </w:p>
        </w:tc>
        <w:tc>
          <w:tcPr>
            <w:tcW w:w="2803" w:type="dxa"/>
            <w:vAlign w:val="center"/>
          </w:tcPr>
          <w:p>
            <w:pPr>
              <w:rPr>
                <w:lang w:eastAsia="ja-JP"/>
              </w:rPr>
            </w:pPr>
            <w:r>
              <w:rPr>
                <w:rFonts w:hint="eastAsia" w:ascii="宋体" w:hAnsi="宋体"/>
                <w:szCs w:val="21"/>
                <w:lang w:val="en-US" w:eastAsia="zh-CN"/>
              </w:rPr>
              <w:t>金属机加工件的生产</w:t>
            </w:r>
            <w:r>
              <w:rPr>
                <w:rFonts w:hint="eastAsia" w:ascii="宋体" w:hAnsi="宋体" w:cs="宋体"/>
                <w:kern w:val="0"/>
                <w:szCs w:val="21"/>
                <w:lang w:bidi="ar"/>
              </w:rPr>
              <w:t>所涉及场所的相关管理活动</w:t>
            </w:r>
            <w:r>
              <w:rPr>
                <w:rFonts w:hint="eastAsia" w:ascii="宋体" w:hAnsi="宋体" w:cs="宋体"/>
                <w:kern w:val="0"/>
                <w:szCs w:val="21"/>
                <w:lang w:eastAsia="zh-CN" w:bidi="ar"/>
              </w:rPr>
              <w:t>。</w:t>
            </w:r>
          </w:p>
        </w:tc>
        <w:tc>
          <w:tcPr>
            <w:tcW w:w="669" w:type="dxa"/>
            <w:vAlign w:val="center"/>
          </w:tcPr>
          <w:p>
            <w:pPr>
              <w:rPr>
                <w:lang w:eastAsia="ja-JP"/>
              </w:rPr>
            </w:pPr>
            <w:r>
              <w:rPr>
                <w:rFonts w:hint="eastAsia"/>
                <w:lang w:val="de-DE"/>
              </w:rPr>
              <w:t>GB/T24001-2016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2020-N1EMS-1263290</w:t>
            </w:r>
          </w:p>
        </w:tc>
        <w:tc>
          <w:tcPr>
            <w:tcW w:w="2179" w:type="dxa"/>
            <w:vAlign w:val="center"/>
          </w:tcPr>
          <w:p>
            <w: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验证了上次提出的不符合整改情况，措施有效。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w:t>
            </w:r>
            <w:r>
              <w:rPr>
                <w:rFonts w:hint="eastAsia"/>
              </w:rPr>
              <w:sym w:font="Wingdings 2" w:char="00A3"/>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在完成纠正措施后推荐保持认证注册(□监督审核</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-25400</wp:posOffset>
                  </wp:positionH>
                  <wp:positionV relativeFrom="paragraph">
                    <wp:posOffset>0</wp:posOffset>
                  </wp:positionV>
                  <wp:extent cx="608965" cy="50546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08965" cy="50546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2022.7.22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w:t>
            </w:r>
          </w:p>
          <w:p>
            <w:pPr>
              <w:shd w:val="clear" w:color="auto" w:fill="EBF1DE" w:themeFill="accent3" w:themeFillTint="32"/>
            </w:pPr>
            <w:r>
              <w:rPr>
                <w:sz w:val="20"/>
              </w:rPr>
              <w:t>金属机加工件的生产所涉及场所的相关环境管理活动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w:t>
            </w:r>
            <w:r>
              <w:rPr>
                <w:rFonts w:hint="eastAsia"/>
                <w:lang w:eastAsia="zh-CN"/>
              </w:rPr>
              <w:t>☑</w:t>
            </w:r>
            <w:r>
              <w:rPr>
                <w:rFonts w:hint="eastAsia"/>
              </w:rPr>
              <w:t xml:space="preserve">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危险废物处置 </w:t>
            </w:r>
            <w:r>
              <w:rPr>
                <w:rFonts w:hint="eastAsia"/>
                <w:lang w:eastAsia="zh-CN"/>
              </w:rPr>
              <w:t>☑</w:t>
            </w:r>
            <w:r>
              <w:rPr>
                <w:rFonts w:hint="eastAsia"/>
              </w:rPr>
              <w:t xml:space="preserve">消防检测 □生产/服务过程 </w:t>
            </w:r>
            <w:r>
              <w:rPr>
                <w:rFonts w:hint="eastAsia"/>
                <w:lang w:eastAsia="zh-CN"/>
              </w:rPr>
              <w:t>☑</w:t>
            </w:r>
            <w:r>
              <w:rPr>
                <w:rFonts w:hint="eastAsia"/>
              </w:rPr>
              <w:t>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rPr>
                <w:u w:val="single"/>
              </w:rPr>
            </w:pPr>
            <w:r>
              <w:rPr>
                <w:rFonts w:hint="eastAsia"/>
              </w:rPr>
              <w:t>最高管理者制定了文件化的管理体系方针：</w:t>
            </w:r>
            <w:r>
              <w:rPr>
                <w:rFonts w:hint="eastAsia" w:ascii="宋体" w:hAnsi="宋体"/>
                <w:b w:val="0"/>
                <w:bCs/>
                <w:sz w:val="21"/>
                <w:szCs w:val="21"/>
              </w:rPr>
              <w:t>遵守法律、防治污染、降低能耗、</w:t>
            </w:r>
            <w:r>
              <w:rPr>
                <w:rFonts w:hint="eastAsia" w:ascii="宋体" w:hAnsi="宋体"/>
                <w:szCs w:val="21"/>
              </w:rPr>
              <w:t>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□资源消耗 </w:t>
            </w:r>
            <w:r>
              <w:rPr>
                <w:rFonts w:hint="eastAsia"/>
                <w:lang w:eastAsia="zh-CN"/>
              </w:rPr>
              <w:t>☑</w:t>
            </w:r>
            <w:r>
              <w:rPr>
                <w:rFonts w:hint="eastAsia"/>
              </w:rPr>
              <w:t xml:space="preserve">废水排放  </w:t>
            </w:r>
            <w:r>
              <w:rPr>
                <w:rFonts w:hint="eastAsia"/>
                <w:lang w:eastAsia="zh-CN"/>
              </w:rPr>
              <w:t>☑</w:t>
            </w:r>
            <w:r>
              <w:rPr>
                <w:rFonts w:hint="eastAsia"/>
              </w:rPr>
              <w:t xml:space="preserve">废气排放 □粉尘排放  </w:t>
            </w:r>
            <w:r>
              <w:rPr>
                <w:rFonts w:hint="eastAsia"/>
                <w:lang w:eastAsia="zh-CN"/>
              </w:rPr>
              <w:t>□</w:t>
            </w:r>
            <w:r>
              <w:rPr>
                <w:rFonts w:hint="eastAsia"/>
              </w:rPr>
              <w:t xml:space="preserve">危废排放 </w:t>
            </w:r>
            <w:r>
              <w:rPr>
                <w:rFonts w:hint="eastAsia"/>
                <w:lang w:eastAsia="zh-CN"/>
              </w:rPr>
              <w:t>☑</w:t>
            </w:r>
            <w:r>
              <w:rPr>
                <w:rFonts w:hint="eastAsia"/>
              </w:rPr>
              <w:t>噪声排放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lang w:eastAsia="zh-CN"/>
              </w:rPr>
              <w:t>☑</w:t>
            </w:r>
            <w:r>
              <w:rPr>
                <w:rFonts w:hint="eastAsia"/>
              </w:rPr>
              <w:t xml:space="preserve">排污许可证编号： </w:t>
            </w:r>
            <w:r>
              <w:rPr>
                <w:rFonts w:hint="eastAsia"/>
                <w:u w:val="single"/>
              </w:rPr>
              <w:t xml:space="preserve">  </w:t>
            </w:r>
            <w:r>
              <w:rPr>
                <w:rFonts w:hint="eastAsia"/>
                <w:u w:val="single"/>
                <w:lang w:val="en-US" w:eastAsia="zh-CN"/>
              </w:rPr>
              <w:t>91619400684764676B001Y</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ascii="宋体" w:hAnsi="宋体" w:eastAsia="宋体" w:cs="宋体"/>
                <w:sz w:val="21"/>
                <w:szCs w:val="21"/>
                <w:u w:val="single"/>
                <w:lang w:val="en-US" w:eastAsia="zh-CN"/>
              </w:rPr>
              <w:t>201</w:t>
            </w:r>
            <w:r>
              <w:rPr>
                <w:rFonts w:hint="eastAsia" w:ascii="宋体" w:hAnsi="宋体" w:cs="宋体"/>
                <w:sz w:val="21"/>
                <w:szCs w:val="21"/>
                <w:u w:val="single"/>
                <w:lang w:val="en-US" w:eastAsia="zh-CN"/>
              </w:rPr>
              <w:t>9.</w:t>
            </w:r>
            <w:r>
              <w:rPr>
                <w:rFonts w:hint="eastAsia" w:ascii="宋体" w:hAnsi="宋体" w:eastAsia="宋体" w:cs="宋体"/>
                <w:sz w:val="21"/>
                <w:szCs w:val="21"/>
                <w:u w:val="single"/>
                <w:lang w:val="en-US" w:eastAsia="zh-CN"/>
              </w:rPr>
              <w:t xml:space="preserve">2.28    </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290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907"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numPr>
                      <w:ilvl w:val="0"/>
                      <w:numId w:val="0"/>
                    </w:numPr>
                    <w:spacing w:line="240" w:lineRule="auto"/>
                  </w:pPr>
                  <w:r>
                    <w:rPr>
                      <w:rFonts w:hint="eastAsia" w:eastAsia="宋体"/>
                    </w:rPr>
                    <w:t>固体废物</w:t>
                  </w:r>
                  <w:r>
                    <w:rPr>
                      <w:rFonts w:hint="eastAsia" w:eastAsia="宋体"/>
                      <w:lang w:val="en-US" w:eastAsia="zh-CN"/>
                    </w:rPr>
                    <w:t>有效处置率100%</w:t>
                  </w:r>
                  <w:r>
                    <w:rPr>
                      <w:rFonts w:hint="eastAsia" w:eastAsia="宋体"/>
                      <w:lang w:eastAsia="zh-CN"/>
                    </w:rPr>
                    <w:t>；</w:t>
                  </w:r>
                </w:p>
              </w:tc>
              <w:tc>
                <w:tcPr>
                  <w:tcW w:w="2907" w:type="dxa"/>
                  <w:vMerge w:val="restart"/>
                  <w:shd w:val="clear" w:color="auto" w:fill="auto"/>
                  <w:vAlign w:val="center"/>
                </w:tcPr>
                <w:p>
                  <w:pPr>
                    <w:shd w:val="clear" w:color="auto" w:fill="EBF1DE" w:themeFill="accent3" w:themeFillTint="32"/>
                    <w:rPr>
                      <w:lang w:val="en-GB"/>
                    </w:rPr>
                  </w:pPr>
                  <w:r>
                    <w:rPr>
                      <w:rFonts w:hint="eastAsia" w:ascii="宋体" w:hAnsi="宋体" w:eastAsia="宋体" w:cs="宋体"/>
                      <w:sz w:val="21"/>
                      <w:szCs w:val="21"/>
                    </w:rPr>
                    <w:t>有加强化学品管理，防止潜在泄露事故；加强固体废物管理；降低设备噪声；火灾事故的发生等管理方案</w:t>
                  </w:r>
                </w:p>
              </w:tc>
              <w:tc>
                <w:tcPr>
                  <w:tcW w:w="1350" w:type="dxa"/>
                  <w:vMerge w:val="restart"/>
                  <w:shd w:val="clear" w:color="auto" w:fill="auto"/>
                  <w:vAlign w:val="center"/>
                </w:tcPr>
                <w:p>
                  <w:pPr>
                    <w:shd w:val="clear" w:color="auto" w:fill="EBF1DE" w:themeFill="accent3" w:themeFillTint="32"/>
                    <w:ind w:firstLine="210" w:firstLineChars="100"/>
                    <w:rPr>
                      <w:rFonts w:hint="eastAsia"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shd w:val="clear" w:color="auto" w:fill="EBF1DE" w:themeFill="accent3" w:themeFillTint="32"/>
                    <w:rPr>
                      <w:rFonts w:hint="eastAsia" w:eastAsia="宋体"/>
                      <w:lang w:val="en-US" w:eastAsia="zh-CN"/>
                    </w:rPr>
                  </w:pPr>
                  <w:r>
                    <w:rPr>
                      <w:rFonts w:hint="eastAsia" w:eastAsia="宋体"/>
                    </w:rPr>
                    <w:t>火灾发生</w:t>
                  </w:r>
                  <w:r>
                    <w:rPr>
                      <w:rFonts w:hint="eastAsia" w:eastAsia="宋体"/>
                      <w:lang w:val="en-US" w:eastAsia="zh-CN"/>
                    </w:rPr>
                    <w:t>率 0</w:t>
                  </w:r>
                  <w:r>
                    <w:rPr>
                      <w:rFonts w:hint="eastAsia" w:eastAsia="宋体"/>
                    </w:rPr>
                    <w:t>；</w:t>
                  </w:r>
                </w:p>
              </w:tc>
              <w:tc>
                <w:tcPr>
                  <w:tcW w:w="2907" w:type="dxa"/>
                  <w:vMerge w:val="continue"/>
                  <w:shd w:val="clear" w:color="auto" w:fill="auto"/>
                  <w:vAlign w:val="center"/>
                </w:tcPr>
                <w:p>
                  <w:pPr>
                    <w:shd w:val="clear" w:color="auto" w:fill="EBF1DE" w:themeFill="accent3" w:themeFillTint="32"/>
                    <w:rPr>
                      <w:rFonts w:ascii="宋体" w:hAnsi="宋体"/>
                    </w:rPr>
                  </w:pPr>
                </w:p>
              </w:tc>
              <w:tc>
                <w:tcPr>
                  <w:tcW w:w="1350" w:type="dxa"/>
                  <w:vMerge w:val="continue"/>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shd w:val="clear" w:color="auto" w:fill="EBF1DE" w:themeFill="accent3" w:themeFillTint="32"/>
                  </w:pPr>
                  <w:r>
                    <w:rPr>
                      <w:rFonts w:hint="eastAsia" w:eastAsia="宋体"/>
                      <w:lang w:val="en-US" w:eastAsia="zh-CN"/>
                    </w:rPr>
                    <w:t>触电事故发生率 0</w:t>
                  </w:r>
                </w:p>
              </w:tc>
              <w:tc>
                <w:tcPr>
                  <w:tcW w:w="2907" w:type="dxa"/>
                  <w:vMerge w:val="continue"/>
                  <w:shd w:val="clear" w:color="auto" w:fill="auto"/>
                  <w:vAlign w:val="center"/>
                </w:tcPr>
                <w:p>
                  <w:pPr>
                    <w:shd w:val="clear" w:color="auto" w:fill="EBF1DE" w:themeFill="accent3" w:themeFillTint="32"/>
                    <w:rPr>
                      <w:rFonts w:ascii="宋体" w:hAnsi="宋体"/>
                    </w:rPr>
                  </w:pPr>
                </w:p>
              </w:tc>
              <w:tc>
                <w:tcPr>
                  <w:tcW w:w="1350" w:type="dxa"/>
                  <w:vMerge w:val="continue"/>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numPr>
                      <w:ilvl w:val="0"/>
                      <w:numId w:val="0"/>
                    </w:numPr>
                    <w:spacing w:line="240" w:lineRule="auto"/>
                  </w:pPr>
                  <w:r>
                    <w:rPr>
                      <w:rFonts w:hint="eastAsia" w:eastAsia="宋体"/>
                      <w:lang w:val="en-US" w:eastAsia="zh-CN"/>
                    </w:rPr>
                    <w:t>生产废气、粉尘集尘处理率100%；</w:t>
                  </w:r>
                </w:p>
              </w:tc>
              <w:tc>
                <w:tcPr>
                  <w:tcW w:w="2907" w:type="dxa"/>
                  <w:vMerge w:val="continue"/>
                  <w:shd w:val="clear" w:color="auto" w:fill="auto"/>
                  <w:vAlign w:val="center"/>
                </w:tcPr>
                <w:p>
                  <w:pPr>
                    <w:shd w:val="clear" w:color="auto" w:fill="EBF1DE" w:themeFill="accent3" w:themeFillTint="32"/>
                    <w:rPr>
                      <w:rFonts w:ascii="宋体" w:hAnsi="宋体"/>
                    </w:rPr>
                  </w:pPr>
                </w:p>
              </w:tc>
              <w:tc>
                <w:tcPr>
                  <w:tcW w:w="1350" w:type="dxa"/>
                  <w:vMerge w:val="continue"/>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numPr>
                      <w:ilvl w:val="0"/>
                      <w:numId w:val="0"/>
                    </w:numPr>
                    <w:spacing w:line="360" w:lineRule="auto"/>
                  </w:pPr>
                  <w:r>
                    <w:rPr>
                      <w:rFonts w:hint="eastAsia" w:eastAsia="宋体"/>
                      <w:lang w:val="en-US" w:eastAsia="zh-CN"/>
                    </w:rPr>
                    <w:t>设备隔音处理率100%；</w:t>
                  </w:r>
                </w:p>
              </w:tc>
              <w:tc>
                <w:tcPr>
                  <w:tcW w:w="2907" w:type="dxa"/>
                  <w:vMerge w:val="continue"/>
                  <w:shd w:val="clear" w:color="auto" w:fill="auto"/>
                  <w:vAlign w:val="center"/>
                </w:tcPr>
                <w:p>
                  <w:pPr>
                    <w:shd w:val="clear" w:color="auto" w:fill="EBF1DE" w:themeFill="accent3" w:themeFillTint="32"/>
                    <w:rPr>
                      <w:rFonts w:ascii="宋体" w:hAnsi="宋体"/>
                    </w:rPr>
                  </w:pPr>
                </w:p>
              </w:tc>
              <w:tc>
                <w:tcPr>
                  <w:tcW w:w="1350" w:type="dxa"/>
                  <w:vMerge w:val="continue"/>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numPr>
                      <w:ilvl w:val="0"/>
                      <w:numId w:val="0"/>
                    </w:numPr>
                    <w:spacing w:line="360" w:lineRule="auto"/>
                  </w:pPr>
                  <w:r>
                    <w:rPr>
                      <w:rFonts w:hint="eastAsia" w:eastAsia="宋体"/>
                      <w:lang w:val="en-US" w:eastAsia="zh-CN"/>
                    </w:rPr>
                    <w:t>化学品泄露率为0</w:t>
                  </w:r>
                </w:p>
              </w:tc>
              <w:tc>
                <w:tcPr>
                  <w:tcW w:w="2907" w:type="dxa"/>
                  <w:vMerge w:val="continue"/>
                  <w:shd w:val="clear" w:color="auto" w:fill="auto"/>
                  <w:vAlign w:val="center"/>
                </w:tcPr>
                <w:p>
                  <w:pPr>
                    <w:shd w:val="clear" w:color="auto" w:fill="EBF1DE" w:themeFill="accent3" w:themeFillTint="32"/>
                    <w:rPr>
                      <w:rFonts w:ascii="宋体" w:hAnsi="宋体"/>
                    </w:rPr>
                  </w:pPr>
                </w:p>
              </w:tc>
              <w:tc>
                <w:tcPr>
                  <w:tcW w:w="1350" w:type="dxa"/>
                  <w:vMerge w:val="continue"/>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1.8万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加工中心、滚丝机、磨床、数控机床（列举2~4种）</w:t>
            </w:r>
          </w:p>
          <w:p>
            <w:pPr>
              <w:shd w:val="clear" w:color="auto" w:fill="EBF1DE" w:themeFill="accent3" w:themeFillTint="32"/>
              <w:rPr>
                <w:u w:val="single"/>
              </w:rPr>
            </w:pPr>
            <w:r>
              <w:rPr>
                <w:rFonts w:hint="eastAsia"/>
              </w:rPr>
              <w:t>主要环保设备有：</w:t>
            </w:r>
            <w:r>
              <w:rPr>
                <w:rFonts w:hint="eastAsia" w:eastAsia="宋体"/>
                <w:u w:val="single"/>
              </w:rPr>
              <w:t xml:space="preserve"> </w:t>
            </w:r>
            <w:r>
              <w:rPr>
                <w:rFonts w:hint="eastAsia" w:eastAsia="宋体"/>
                <w:u w:val="single"/>
                <w:lang w:val="en-US" w:eastAsia="zh-CN"/>
              </w:rPr>
              <w:t>废气滤芯式粉尘回收装置+15m排气简排放</w:t>
            </w:r>
            <w:r>
              <w:rPr>
                <w:rFonts w:hint="eastAsia" w:eastAsia="宋体"/>
                <w:u w:val="single"/>
              </w:rPr>
              <w:t xml:space="preserve"> </w:t>
            </w:r>
            <w:r>
              <w:rPr>
                <w:rFonts w:hint="eastAsia" w:eastAsia="宋体"/>
                <w:u w:val="single"/>
                <w:lang w:eastAsia="zh-CN"/>
              </w:rPr>
              <w:t>、</w:t>
            </w:r>
            <w:r>
              <w:rPr>
                <w:rFonts w:hint="eastAsia" w:eastAsia="宋体"/>
                <w:u w:val="single"/>
              </w:rPr>
              <w:t xml:space="preserve"> </w:t>
            </w:r>
            <w:r>
              <w:rPr>
                <w:rFonts w:hint="eastAsia" w:eastAsia="宋体"/>
                <w:u w:val="single"/>
                <w:lang w:val="en-US" w:eastAsia="zh-CN"/>
              </w:rPr>
              <w:t>焊</w:t>
            </w:r>
            <w:r>
              <w:rPr>
                <w:rFonts w:hint="eastAsia" w:eastAsia="宋体"/>
                <w:u w:val="single"/>
              </w:rPr>
              <w:t xml:space="preserve">烟净化器 </w:t>
            </w:r>
            <w:r>
              <w:rPr>
                <w:rFonts w:hint="eastAsia" w:eastAsia="宋体"/>
                <w:u w:val="single"/>
                <w:lang w:eastAsia="zh-CN"/>
              </w:rPr>
              <w:t>、</w:t>
            </w:r>
            <w:r>
              <w:rPr>
                <w:rFonts w:hint="eastAsia" w:eastAsia="宋体"/>
                <w:u w:val="single"/>
              </w:rPr>
              <w:t xml:space="preserve">排气扇       </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卡尺、千分尺、硬度计</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r>
                    <w:rPr>
                      <w:rFonts w:hint="eastAsia"/>
                    </w:rPr>
                    <w:t>生产过程注意节水、节电、节钢材，人走关闭设备和照明开关，现场未发现有漏水和浪费电能的现象。</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rPr>
                    <w:t>公司从工艺设计和采购产品时已考虑了产品的环保性（包括原材料），生产过程中，严格按照环保等管理制度实施，控制好辅助材料的用量，避免浪费，生命周期终了时钢材还可以回收再利用。</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rPr>
                    <w:t>生产过程零件淬火时降温的水循环使用，生活废水经化粪池简单处理后排入政府管网集中处理。</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rPr>
                  </w:pPr>
                  <w:r>
                    <w:rPr>
                      <w:rFonts w:hint="eastAsia"/>
                    </w:rPr>
                    <w:t>主要是钢材在钣金加工机机加工过程产生少量粉尘，安装了若干换气扇对车间进行通风换气，对车间及周围环境影响较小，经无组织废气监测符合排放标准要求。</w:t>
                  </w:r>
                </w:p>
                <w:p>
                  <w:pPr>
                    <w:shd w:val="clear" w:color="auto" w:fill="EBF1DE" w:themeFill="accent3" w:themeFillTint="32"/>
                    <w:jc w:val="left"/>
                    <w:rPr>
                      <w:rFonts w:hint="eastAsia"/>
                    </w:rPr>
                  </w:pPr>
                  <w:r>
                    <w:rPr>
                      <w:rFonts w:hint="eastAsia"/>
                    </w:rPr>
                    <w:t>抛丸废气滤芯式粉尘回收装置+15m排气简排放。</w:t>
                  </w:r>
                </w:p>
                <w:p>
                  <w:pPr>
                    <w:shd w:val="clear" w:color="auto" w:fill="EBF1DE" w:themeFill="accent3" w:themeFillTint="32"/>
                    <w:jc w:val="left"/>
                  </w:pPr>
                  <w:r>
                    <w:rPr>
                      <w:rFonts w:hint="eastAsia"/>
                    </w:rPr>
                    <w:t>焊接废气高效焊烟净化器排放。</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rPr>
                    <w:t>生产过程在下料、机加工过程产生设备噪声，采取厂房内操作和选用低噪声的设备和工具并做消声和减振处理，同时加强设备的检查和维保，确保机械设备在正常工况下运行，其他工序基本无噪声。</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eastAsia"/>
                    </w:rPr>
                  </w:pPr>
                  <w:r>
                    <w:rPr>
                      <w:rFonts w:hint="eastAsia"/>
                    </w:rPr>
                    <w:t>生产过程中主要为下料和及机加工过程产生废边角余料、和废品。生产部将以上废弃物放置固定位置，积攒一定量后出售有处理能力的单位回收再利用。</w:t>
                  </w:r>
                </w:p>
                <w:p>
                  <w:pPr>
                    <w:shd w:val="clear" w:color="auto" w:fill="EBF1DE" w:themeFill="accent3" w:themeFillTint="32"/>
                    <w:jc w:val="left"/>
                  </w:pPr>
                  <w:r>
                    <w:rPr>
                      <w:rFonts w:hint="eastAsia"/>
                    </w:rPr>
                    <w:t>危险废物为车间含油抹布、废油桶、废切削液桶，采取集中收集定期回收的方式处理。</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r>
                    <w:rPr>
                      <w:rFonts w:hint="eastAsia"/>
                    </w:rPr>
                    <w:t>抛丸废气滤芯式粉尘回收装置+15m排气简排放。</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公司生产车间和办公区域配备了消防栓、灭火器，均符合要求。</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基本正常，机加车间门口灭火器未点检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 xml:space="preserve">对生产和服务提供过程的环境因素控制 </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叉车、行车</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 xml:space="preserve">采用的标识方式：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 xml:space="preserve">可追溯性实现： </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 xml:space="preserve">危化品： </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 xml:space="preserve">交付后活动： </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 xml:space="preserve">已发生的更改包括： </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EBF1DE" w:themeFill="accent3" w:themeFillTint="32"/>
            </w:pPr>
            <w:r>
              <w:rPr>
                <w:rFonts w:hint="eastAsia"/>
              </w:rPr>
              <w:t xml:space="preserve">变更控制： </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于</w:t>
            </w:r>
            <w:r>
              <w:rPr>
                <w:rFonts w:hint="eastAsia"/>
                <w:u w:val="single"/>
              </w:rPr>
              <w:t xml:space="preserve"> </w:t>
            </w:r>
            <w:r>
              <w:rPr>
                <w:rFonts w:hint="eastAsia" w:eastAsia="宋体"/>
                <w:u w:val="single"/>
              </w:rPr>
              <w:t>202</w:t>
            </w:r>
            <w:r>
              <w:rPr>
                <w:rFonts w:hint="eastAsia" w:eastAsia="宋体"/>
                <w:u w:val="single"/>
                <w:lang w:val="en-US" w:eastAsia="zh-CN"/>
              </w:rPr>
              <w:t>2</w:t>
            </w:r>
            <w:r>
              <w:rPr>
                <w:rFonts w:hint="eastAsia" w:eastAsia="宋体"/>
                <w:u w:val="single"/>
              </w:rPr>
              <w:t xml:space="preserve">年 3 月 </w:t>
            </w:r>
            <w:r>
              <w:rPr>
                <w:rFonts w:hint="eastAsia" w:eastAsia="宋体"/>
                <w:u w:val="single"/>
                <w:lang w:val="en-US" w:eastAsia="zh-CN"/>
              </w:rPr>
              <w:t>25</w:t>
            </w:r>
            <w:r>
              <w:rPr>
                <w:rFonts w:hint="eastAsia" w:eastAsia="宋体"/>
                <w:u w:val="single"/>
              </w:rPr>
              <w:t xml:space="preserve"> 日</w:t>
            </w:r>
            <w:r>
              <w:rPr>
                <w:rFonts w:hint="eastAsia" w:eastAsia="宋体"/>
              </w:rPr>
              <w:t>进行了</w:t>
            </w:r>
            <w:r>
              <w:rPr>
                <w:rFonts w:hint="eastAsia" w:eastAsia="宋体"/>
                <w:u w:val="single"/>
              </w:rPr>
              <w:t xml:space="preserve"> 消防应急预案 </w:t>
            </w:r>
            <w:r>
              <w:rPr>
                <w:rFonts w:hint="eastAsia" w:eastAsia="宋体"/>
              </w:rPr>
              <w:t>的演</w:t>
            </w:r>
            <w:r>
              <w:rPr>
                <w:rFonts w:hint="eastAsia"/>
              </w:rPr>
              <w:t xml:space="preserve">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 xml:space="preserve">实施的检测：企业自检 </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SCTD2021-S05-0126</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宋体" w:hAnsi="宋体"/>
                <w:szCs w:val="21"/>
                <w:u w:val="single"/>
              </w:rPr>
              <w:t>20</w:t>
            </w:r>
            <w:r>
              <w:rPr>
                <w:rFonts w:hint="eastAsia" w:ascii="宋体" w:hAnsi="宋体"/>
                <w:szCs w:val="21"/>
                <w:u w:val="single"/>
                <w:lang w:val="en-US" w:eastAsia="zh-CN"/>
              </w:rPr>
              <w:t>22</w:t>
            </w:r>
            <w:r>
              <w:rPr>
                <w:rFonts w:hint="eastAsia"/>
              </w:rPr>
              <w:t>年</w:t>
            </w:r>
            <w:r>
              <w:rPr>
                <w:rFonts w:hint="eastAsia"/>
                <w:u w:val="single"/>
              </w:rPr>
              <w:t xml:space="preserve">  </w:t>
            </w:r>
            <w:r>
              <w:rPr>
                <w:rFonts w:hint="eastAsia" w:ascii="宋体" w:hAnsi="宋体"/>
                <w:szCs w:val="21"/>
                <w:u w:val="single"/>
                <w:lang w:val="en-US" w:eastAsia="zh-CN"/>
              </w:rPr>
              <w:t>05</w:t>
            </w:r>
            <w:r>
              <w:rPr>
                <w:rFonts w:hint="eastAsia"/>
                <w:u w:val="single"/>
              </w:rPr>
              <w:t xml:space="preserve"> </w:t>
            </w:r>
            <w:r>
              <w:rPr>
                <w:rFonts w:hint="eastAsia"/>
              </w:rPr>
              <w:t>月</w:t>
            </w:r>
            <w:r>
              <w:rPr>
                <w:rFonts w:hint="eastAsia"/>
                <w:u w:val="single"/>
              </w:rPr>
              <w:t xml:space="preserve"> </w:t>
            </w:r>
            <w:r>
              <w:rPr>
                <w:rFonts w:hint="eastAsia" w:ascii="宋体" w:hAnsi="宋体"/>
                <w:szCs w:val="21"/>
                <w:u w:val="single"/>
                <w:lang w:val="en-US" w:eastAsia="zh-CN"/>
              </w:rPr>
              <w:t>27-28</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cs="Times New Roman" w:asciiTheme="minorEastAsia" w:hAnsiTheme="minorEastAsia" w:eastAsiaTheme="minorEastAsia"/>
                <w:i w:val="0"/>
                <w:iCs w:val="0"/>
                <w:szCs w:val="24"/>
                <w:u w:val="single"/>
              </w:rPr>
              <w:t>20</w:t>
            </w:r>
            <w:r>
              <w:rPr>
                <w:rFonts w:hint="eastAsia" w:cs="Times New Roman" w:asciiTheme="minorEastAsia" w:hAnsiTheme="minorEastAsia" w:eastAsiaTheme="minorEastAsia"/>
                <w:i w:val="0"/>
                <w:iCs w:val="0"/>
                <w:szCs w:val="24"/>
                <w:u w:val="single"/>
                <w:lang w:val="en-US" w:eastAsia="zh-CN"/>
              </w:rPr>
              <w:t>22</w:t>
            </w:r>
            <w:r>
              <w:rPr>
                <w:rFonts w:hint="eastAsia" w:cs="Times New Roman" w:asciiTheme="minorEastAsia" w:hAnsiTheme="minorEastAsia" w:eastAsiaTheme="minorEastAsia"/>
                <w:szCs w:val="24"/>
                <w:lang w:val="en-US" w:eastAsia="zh-CN"/>
              </w:rPr>
              <w:t>年</w:t>
            </w:r>
            <w:r>
              <w:rPr>
                <w:rFonts w:hint="eastAsia"/>
                <w:u w:val="single"/>
              </w:rPr>
              <w:t xml:space="preserve">  </w:t>
            </w:r>
            <w:r>
              <w:rPr>
                <w:rFonts w:hint="eastAsia" w:cs="Times New Roman" w:asciiTheme="minorEastAsia" w:hAnsiTheme="minorEastAsia" w:eastAsiaTheme="minorEastAsia"/>
                <w:szCs w:val="24"/>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cs="Times New Roman" w:asciiTheme="minorEastAsia" w:hAnsiTheme="minorEastAsia" w:eastAsiaTheme="minorEastAsia"/>
                <w:szCs w:val="24"/>
                <w:u w:val="single"/>
                <w:lang w:val="en-US" w:eastAsia="zh-CN"/>
              </w:rPr>
              <w:t>18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98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1713"/>
        <w:gridCol w:w="802"/>
        <w:gridCol w:w="877"/>
        <w:gridCol w:w="802"/>
        <w:gridCol w:w="753"/>
        <w:gridCol w:w="877"/>
        <w:gridCol w:w="852"/>
        <w:gridCol w:w="790"/>
        <w:gridCol w:w="728"/>
        <w:gridCol w:w="84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713"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GB"/>
              </w:rPr>
              <w:t>标准条款</w:t>
            </w:r>
          </w:p>
        </w:tc>
        <w:tc>
          <w:tcPr>
            <w:tcW w:w="802" w:type="dxa"/>
            <w:shd w:val="clear" w:color="auto" w:fill="EBF1DE" w:themeFill="accent3" w:themeFillTint="32"/>
            <w:vAlign w:val="center"/>
          </w:tcPr>
          <w:p>
            <w:pPr>
              <w:shd w:val="clear" w:color="auto" w:fill="EBF1DE" w:themeFill="accent3" w:themeFillTint="32"/>
              <w:jc w:val="center"/>
              <w:rPr>
                <w:lang w:eastAsia="ja-JP"/>
              </w:rPr>
            </w:pPr>
            <w:r>
              <w:rPr>
                <w:rFonts w:hint="eastAsia"/>
              </w:rPr>
              <w:t>4.1</w:t>
            </w:r>
          </w:p>
        </w:tc>
        <w:tc>
          <w:tcPr>
            <w:tcW w:w="877" w:type="dxa"/>
            <w:shd w:val="clear" w:color="auto" w:fill="EBF1DE" w:themeFill="accent3" w:themeFillTint="32"/>
            <w:vAlign w:val="center"/>
          </w:tcPr>
          <w:p>
            <w:pPr>
              <w:shd w:val="clear" w:color="auto" w:fill="EBF1DE" w:themeFill="accent3" w:themeFillTint="32"/>
              <w:jc w:val="center"/>
              <w:rPr>
                <w:lang w:eastAsia="ja-JP"/>
              </w:rPr>
            </w:pPr>
            <w:r>
              <w:rPr>
                <w:rFonts w:hint="eastAsia"/>
              </w:rPr>
              <w:t>4.2</w:t>
            </w:r>
          </w:p>
        </w:tc>
        <w:tc>
          <w:tcPr>
            <w:tcW w:w="802" w:type="dxa"/>
            <w:shd w:val="clear" w:color="auto" w:fill="EBF1DE" w:themeFill="accent3" w:themeFillTint="32"/>
            <w:vAlign w:val="center"/>
          </w:tcPr>
          <w:p>
            <w:pPr>
              <w:shd w:val="clear" w:color="auto" w:fill="EBF1DE" w:themeFill="accent3" w:themeFillTint="32"/>
              <w:jc w:val="center"/>
              <w:rPr>
                <w:lang w:eastAsia="ja-JP"/>
              </w:rPr>
            </w:pPr>
            <w:r>
              <w:rPr>
                <w:rFonts w:hint="eastAsia"/>
              </w:rPr>
              <w:t>4.3</w:t>
            </w:r>
          </w:p>
        </w:tc>
        <w:tc>
          <w:tcPr>
            <w:tcW w:w="753" w:type="dxa"/>
            <w:shd w:val="clear" w:color="auto" w:fill="EBF1DE" w:themeFill="accent3" w:themeFillTint="32"/>
            <w:vAlign w:val="center"/>
          </w:tcPr>
          <w:p>
            <w:pPr>
              <w:shd w:val="clear" w:color="auto" w:fill="EBF1DE" w:themeFill="accent3" w:themeFillTint="32"/>
              <w:jc w:val="center"/>
              <w:rPr>
                <w:lang w:eastAsia="ja-JP"/>
              </w:rPr>
            </w:pPr>
            <w:r>
              <w:rPr>
                <w:rFonts w:hint="eastAsia"/>
              </w:rPr>
              <w:t>4.4</w:t>
            </w:r>
          </w:p>
        </w:tc>
        <w:tc>
          <w:tcPr>
            <w:tcW w:w="877" w:type="dxa"/>
            <w:shd w:val="clear" w:color="auto" w:fill="EBF1DE" w:themeFill="accent3" w:themeFillTint="32"/>
            <w:vAlign w:val="center"/>
          </w:tcPr>
          <w:p>
            <w:pPr>
              <w:shd w:val="clear" w:color="auto" w:fill="EBF1DE" w:themeFill="accent3" w:themeFillTint="32"/>
              <w:jc w:val="center"/>
              <w:rPr>
                <w:lang w:eastAsia="ja-JP"/>
              </w:rPr>
            </w:pPr>
            <w:r>
              <w:rPr>
                <w:rFonts w:hint="eastAsia"/>
              </w:rPr>
              <w:t>5.1</w:t>
            </w:r>
          </w:p>
        </w:tc>
        <w:tc>
          <w:tcPr>
            <w:tcW w:w="852" w:type="dxa"/>
            <w:shd w:val="clear" w:color="auto" w:fill="EBF1DE" w:themeFill="accent3" w:themeFillTint="32"/>
            <w:vAlign w:val="center"/>
          </w:tcPr>
          <w:p>
            <w:pPr>
              <w:shd w:val="clear" w:color="auto" w:fill="EBF1DE" w:themeFill="accent3" w:themeFillTint="32"/>
              <w:jc w:val="center"/>
              <w:rPr>
                <w:lang w:eastAsia="ja-JP"/>
              </w:rPr>
            </w:pPr>
            <w:r>
              <w:rPr>
                <w:rFonts w:hint="eastAsia"/>
              </w:rPr>
              <w:t>5.2</w:t>
            </w:r>
          </w:p>
        </w:tc>
        <w:tc>
          <w:tcPr>
            <w:tcW w:w="790" w:type="dxa"/>
            <w:shd w:val="clear" w:color="auto" w:fill="EBF1DE" w:themeFill="accent3" w:themeFillTint="32"/>
            <w:vAlign w:val="center"/>
          </w:tcPr>
          <w:p>
            <w:pPr>
              <w:shd w:val="clear" w:color="auto" w:fill="EBF1DE" w:themeFill="accent3" w:themeFillTint="32"/>
              <w:jc w:val="center"/>
              <w:rPr>
                <w:lang w:eastAsia="ja-JP"/>
              </w:rPr>
            </w:pPr>
            <w:r>
              <w:rPr>
                <w:rFonts w:hint="eastAsia"/>
              </w:rPr>
              <w:t>5.3</w:t>
            </w:r>
          </w:p>
        </w:tc>
        <w:tc>
          <w:tcPr>
            <w:tcW w:w="728" w:type="dxa"/>
            <w:shd w:val="clear" w:color="auto" w:fill="EBF1DE" w:themeFill="accent3" w:themeFillTint="32"/>
            <w:vAlign w:val="center"/>
          </w:tcPr>
          <w:p>
            <w:pPr>
              <w:shd w:val="clear" w:color="auto" w:fill="EBF1DE" w:themeFill="accent3" w:themeFillTint="32"/>
              <w:jc w:val="center"/>
              <w:rPr>
                <w:lang w:eastAsia="ja-JP"/>
              </w:rPr>
            </w:pPr>
            <w:r>
              <w:rPr>
                <w:rFonts w:hint="eastAsia"/>
              </w:rPr>
              <w:t>6.1</w:t>
            </w:r>
          </w:p>
        </w:tc>
        <w:tc>
          <w:tcPr>
            <w:tcW w:w="840" w:type="dxa"/>
            <w:shd w:val="clear" w:color="auto" w:fill="EBF1DE" w:themeFill="accent3" w:themeFillTint="32"/>
            <w:vAlign w:val="center"/>
          </w:tcPr>
          <w:p>
            <w:pPr>
              <w:shd w:val="clear" w:color="auto" w:fill="EBF1DE" w:themeFill="accent3" w:themeFillTint="32"/>
              <w:jc w:val="center"/>
              <w:rPr>
                <w:lang w:eastAsia="ja-JP"/>
              </w:rPr>
            </w:pPr>
            <w:r>
              <w:rPr>
                <w:rFonts w:hint="eastAsia"/>
              </w:rPr>
              <w:t>6.2</w:t>
            </w:r>
          </w:p>
        </w:tc>
        <w:tc>
          <w:tcPr>
            <w:tcW w:w="814" w:type="dxa"/>
            <w:shd w:val="clear" w:color="auto" w:fill="EBF1DE" w:themeFill="accent3" w:themeFillTint="32"/>
            <w:vAlign w:val="center"/>
          </w:tcPr>
          <w:p>
            <w:pPr>
              <w:shd w:val="clear" w:color="auto" w:fill="EBF1DE" w:themeFill="accent3" w:themeFillTint="32"/>
              <w:jc w:val="center"/>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713"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GB"/>
              </w:rPr>
              <w:t>评价*)</w:t>
            </w:r>
          </w:p>
        </w:tc>
        <w:tc>
          <w:tcPr>
            <w:tcW w:w="802" w:type="dxa"/>
            <w:shd w:val="clear" w:color="auto" w:fill="EBF1DE" w:themeFill="accent3" w:themeFillTint="32"/>
            <w:vAlign w:val="center"/>
          </w:tcPr>
          <w:p>
            <w:pPr>
              <w:shd w:val="clear" w:color="auto" w:fill="EBF1DE" w:themeFill="accent3" w:themeFillTint="32"/>
              <w:jc w:val="center"/>
              <w:rPr>
                <w:rFonts w:hint="default" w:eastAsia="宋体"/>
                <w:lang w:val="en-US" w:eastAsia="zh-CN"/>
              </w:rPr>
            </w:pPr>
            <w:r>
              <w:rPr>
                <w:rFonts w:hint="eastAsia"/>
                <w:lang w:val="en-US" w:eastAsia="zh-CN"/>
              </w:rPr>
              <w:t>1</w:t>
            </w:r>
          </w:p>
        </w:tc>
        <w:tc>
          <w:tcPr>
            <w:tcW w:w="877"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02"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53"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77"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52"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9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28"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84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14"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713" w:type="dxa"/>
            <w:shd w:val="clear" w:color="auto" w:fill="EBF1DE" w:themeFill="accent3" w:themeFillTint="32"/>
            <w:vAlign w:val="center"/>
          </w:tcPr>
          <w:p>
            <w:pPr>
              <w:shd w:val="clear" w:color="auto" w:fill="EBF1DE" w:themeFill="accent3" w:themeFillTint="32"/>
              <w:jc w:val="center"/>
              <w:rPr>
                <w:lang w:eastAsia="ja-JP"/>
              </w:rPr>
            </w:pPr>
            <w:r>
              <w:rPr>
                <w:rFonts w:hint="eastAsia"/>
              </w:rPr>
              <w:t>不符合数量</w:t>
            </w:r>
          </w:p>
        </w:tc>
        <w:tc>
          <w:tcPr>
            <w:tcW w:w="802" w:type="dxa"/>
            <w:shd w:val="clear" w:color="auto" w:fill="EBF1DE" w:themeFill="accent3" w:themeFillTint="32"/>
            <w:vAlign w:val="center"/>
          </w:tcPr>
          <w:p>
            <w:pPr>
              <w:shd w:val="clear" w:color="auto" w:fill="EBF1DE" w:themeFill="accent3" w:themeFillTint="32"/>
              <w:jc w:val="center"/>
              <w:rPr>
                <w:lang w:eastAsia="ja-JP"/>
              </w:rPr>
            </w:pPr>
          </w:p>
        </w:tc>
        <w:tc>
          <w:tcPr>
            <w:tcW w:w="877" w:type="dxa"/>
            <w:shd w:val="clear" w:color="auto" w:fill="EBF1DE" w:themeFill="accent3" w:themeFillTint="32"/>
            <w:vAlign w:val="center"/>
          </w:tcPr>
          <w:p>
            <w:pPr>
              <w:shd w:val="clear" w:color="auto" w:fill="EBF1DE" w:themeFill="accent3" w:themeFillTint="32"/>
              <w:jc w:val="center"/>
              <w:rPr>
                <w:lang w:eastAsia="ja-JP"/>
              </w:rPr>
            </w:pPr>
          </w:p>
        </w:tc>
        <w:tc>
          <w:tcPr>
            <w:tcW w:w="802" w:type="dxa"/>
            <w:shd w:val="clear" w:color="auto" w:fill="EBF1DE" w:themeFill="accent3" w:themeFillTint="32"/>
            <w:vAlign w:val="center"/>
          </w:tcPr>
          <w:p>
            <w:pPr>
              <w:shd w:val="clear" w:color="auto" w:fill="EBF1DE" w:themeFill="accent3" w:themeFillTint="32"/>
              <w:jc w:val="center"/>
              <w:rPr>
                <w:lang w:eastAsia="ja-JP"/>
              </w:rPr>
            </w:pPr>
          </w:p>
        </w:tc>
        <w:tc>
          <w:tcPr>
            <w:tcW w:w="753" w:type="dxa"/>
            <w:shd w:val="clear" w:color="auto" w:fill="EBF1DE" w:themeFill="accent3" w:themeFillTint="32"/>
            <w:vAlign w:val="center"/>
          </w:tcPr>
          <w:p>
            <w:pPr>
              <w:shd w:val="clear" w:color="auto" w:fill="EBF1DE" w:themeFill="accent3" w:themeFillTint="32"/>
              <w:jc w:val="center"/>
              <w:rPr>
                <w:lang w:eastAsia="ja-JP"/>
              </w:rPr>
            </w:pPr>
          </w:p>
        </w:tc>
        <w:tc>
          <w:tcPr>
            <w:tcW w:w="877" w:type="dxa"/>
            <w:shd w:val="clear" w:color="auto" w:fill="EBF1DE" w:themeFill="accent3" w:themeFillTint="32"/>
            <w:vAlign w:val="center"/>
          </w:tcPr>
          <w:p>
            <w:pPr>
              <w:shd w:val="clear" w:color="auto" w:fill="EBF1DE" w:themeFill="accent3" w:themeFillTint="32"/>
              <w:jc w:val="center"/>
              <w:rPr>
                <w:lang w:eastAsia="ja-JP"/>
              </w:rPr>
            </w:pPr>
          </w:p>
        </w:tc>
        <w:tc>
          <w:tcPr>
            <w:tcW w:w="852" w:type="dxa"/>
            <w:shd w:val="clear" w:color="auto" w:fill="EBF1DE" w:themeFill="accent3" w:themeFillTint="32"/>
            <w:vAlign w:val="center"/>
          </w:tcPr>
          <w:p>
            <w:pPr>
              <w:shd w:val="clear" w:color="auto" w:fill="EBF1DE" w:themeFill="accent3" w:themeFillTint="32"/>
              <w:jc w:val="center"/>
              <w:rPr>
                <w:lang w:eastAsia="ja-JP"/>
              </w:rPr>
            </w:pPr>
          </w:p>
        </w:tc>
        <w:tc>
          <w:tcPr>
            <w:tcW w:w="790" w:type="dxa"/>
            <w:shd w:val="clear" w:color="auto" w:fill="EBF1DE" w:themeFill="accent3" w:themeFillTint="32"/>
            <w:vAlign w:val="center"/>
          </w:tcPr>
          <w:p>
            <w:pPr>
              <w:shd w:val="clear" w:color="auto" w:fill="EBF1DE" w:themeFill="accent3" w:themeFillTint="32"/>
              <w:jc w:val="center"/>
              <w:rPr>
                <w:lang w:eastAsia="ja-JP"/>
              </w:rPr>
            </w:pPr>
          </w:p>
        </w:tc>
        <w:tc>
          <w:tcPr>
            <w:tcW w:w="728"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p>
        </w:tc>
        <w:tc>
          <w:tcPr>
            <w:tcW w:w="840" w:type="dxa"/>
            <w:shd w:val="clear" w:color="auto" w:fill="EBF1DE" w:themeFill="accent3" w:themeFillTint="32"/>
            <w:vAlign w:val="center"/>
          </w:tcPr>
          <w:p>
            <w:pPr>
              <w:shd w:val="clear" w:color="auto" w:fill="EBF1DE" w:themeFill="accent3" w:themeFillTint="32"/>
              <w:jc w:val="center"/>
              <w:rPr>
                <w:lang w:eastAsia="ja-JP"/>
              </w:rPr>
            </w:pPr>
          </w:p>
        </w:tc>
        <w:tc>
          <w:tcPr>
            <w:tcW w:w="814" w:type="dxa"/>
            <w:shd w:val="clear" w:color="auto" w:fill="EBF1DE" w:themeFill="accent3" w:themeFillTint="32"/>
            <w:vAlign w:val="center"/>
          </w:tcPr>
          <w:p>
            <w:pPr>
              <w:shd w:val="clear" w:color="auto" w:fill="EBF1DE" w:themeFill="accent3"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713"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GB"/>
              </w:rPr>
              <w:t>标准条款</w:t>
            </w:r>
          </w:p>
        </w:tc>
        <w:tc>
          <w:tcPr>
            <w:tcW w:w="802" w:type="dxa"/>
            <w:shd w:val="clear" w:color="auto" w:fill="EBF1DE" w:themeFill="accent3" w:themeFillTint="32"/>
            <w:vAlign w:val="center"/>
          </w:tcPr>
          <w:p>
            <w:pPr>
              <w:shd w:val="clear" w:color="auto" w:fill="EBF1DE" w:themeFill="accent3" w:themeFillTint="32"/>
              <w:jc w:val="center"/>
              <w:rPr>
                <w:lang w:eastAsia="ja-JP"/>
              </w:rPr>
            </w:pPr>
            <w:r>
              <w:rPr>
                <w:rFonts w:hint="eastAsia"/>
              </w:rPr>
              <w:t>7.2</w:t>
            </w:r>
          </w:p>
        </w:tc>
        <w:tc>
          <w:tcPr>
            <w:tcW w:w="877" w:type="dxa"/>
            <w:shd w:val="clear" w:color="auto" w:fill="EBF1DE" w:themeFill="accent3" w:themeFillTint="32"/>
            <w:vAlign w:val="center"/>
          </w:tcPr>
          <w:p>
            <w:pPr>
              <w:shd w:val="clear" w:color="auto" w:fill="EBF1DE" w:themeFill="accent3" w:themeFillTint="32"/>
              <w:jc w:val="center"/>
              <w:rPr>
                <w:lang w:eastAsia="ja-JP"/>
              </w:rPr>
            </w:pPr>
            <w:r>
              <w:rPr>
                <w:rFonts w:hint="eastAsia"/>
              </w:rPr>
              <w:t>7.3</w:t>
            </w:r>
          </w:p>
        </w:tc>
        <w:tc>
          <w:tcPr>
            <w:tcW w:w="802" w:type="dxa"/>
            <w:shd w:val="clear" w:color="auto" w:fill="EBF1DE" w:themeFill="accent3" w:themeFillTint="32"/>
            <w:vAlign w:val="center"/>
          </w:tcPr>
          <w:p>
            <w:pPr>
              <w:shd w:val="clear" w:color="auto" w:fill="EBF1DE" w:themeFill="accent3" w:themeFillTint="32"/>
              <w:jc w:val="center"/>
              <w:rPr>
                <w:lang w:eastAsia="ja-JP"/>
              </w:rPr>
            </w:pPr>
            <w:r>
              <w:rPr>
                <w:rFonts w:hint="eastAsia"/>
              </w:rPr>
              <w:t>7.4</w:t>
            </w:r>
          </w:p>
        </w:tc>
        <w:tc>
          <w:tcPr>
            <w:tcW w:w="753" w:type="dxa"/>
            <w:shd w:val="clear" w:color="auto" w:fill="EBF1DE" w:themeFill="accent3" w:themeFillTint="32"/>
            <w:vAlign w:val="center"/>
          </w:tcPr>
          <w:p>
            <w:pPr>
              <w:shd w:val="clear" w:color="auto" w:fill="EBF1DE" w:themeFill="accent3" w:themeFillTint="32"/>
              <w:jc w:val="center"/>
              <w:rPr>
                <w:lang w:eastAsia="ja-JP"/>
              </w:rPr>
            </w:pPr>
            <w:r>
              <w:rPr>
                <w:rFonts w:hint="eastAsia"/>
              </w:rPr>
              <w:t>7.5</w:t>
            </w:r>
          </w:p>
        </w:tc>
        <w:tc>
          <w:tcPr>
            <w:tcW w:w="877" w:type="dxa"/>
            <w:shd w:val="clear" w:color="auto" w:fill="EBF1DE" w:themeFill="accent3" w:themeFillTint="32"/>
            <w:vAlign w:val="center"/>
          </w:tcPr>
          <w:p>
            <w:pPr>
              <w:shd w:val="clear" w:color="auto" w:fill="EBF1DE" w:themeFill="accent3" w:themeFillTint="32"/>
              <w:jc w:val="center"/>
              <w:rPr>
                <w:lang w:eastAsia="ja-JP"/>
              </w:rPr>
            </w:pPr>
            <w:r>
              <w:rPr>
                <w:rFonts w:hint="eastAsia"/>
              </w:rPr>
              <w:t>8.1</w:t>
            </w:r>
          </w:p>
        </w:tc>
        <w:tc>
          <w:tcPr>
            <w:tcW w:w="852" w:type="dxa"/>
            <w:shd w:val="clear" w:color="auto" w:fill="EBF1DE" w:themeFill="accent3" w:themeFillTint="32"/>
            <w:vAlign w:val="center"/>
          </w:tcPr>
          <w:p>
            <w:pPr>
              <w:shd w:val="clear" w:color="auto" w:fill="EBF1DE" w:themeFill="accent3" w:themeFillTint="32"/>
              <w:jc w:val="center"/>
              <w:rPr>
                <w:lang w:eastAsia="ja-JP"/>
              </w:rPr>
            </w:pPr>
            <w:r>
              <w:rPr>
                <w:rFonts w:hint="eastAsia"/>
              </w:rPr>
              <w:t>8.2</w:t>
            </w:r>
          </w:p>
        </w:tc>
        <w:tc>
          <w:tcPr>
            <w:tcW w:w="790" w:type="dxa"/>
            <w:shd w:val="clear" w:color="auto" w:fill="EBF1DE" w:themeFill="accent3" w:themeFillTint="32"/>
            <w:vAlign w:val="center"/>
          </w:tcPr>
          <w:p>
            <w:pPr>
              <w:shd w:val="clear" w:color="auto" w:fill="EBF1DE" w:themeFill="accent3" w:themeFillTint="32"/>
              <w:jc w:val="center"/>
              <w:rPr>
                <w:lang w:eastAsia="ja-JP"/>
              </w:rPr>
            </w:pPr>
            <w:r>
              <w:rPr>
                <w:rFonts w:hint="eastAsia"/>
              </w:rPr>
              <w:t>9.1</w:t>
            </w:r>
          </w:p>
        </w:tc>
        <w:tc>
          <w:tcPr>
            <w:tcW w:w="728" w:type="dxa"/>
            <w:shd w:val="clear" w:color="auto" w:fill="EBF1DE" w:themeFill="accent3" w:themeFillTint="32"/>
            <w:vAlign w:val="center"/>
          </w:tcPr>
          <w:p>
            <w:pPr>
              <w:shd w:val="clear" w:color="auto" w:fill="EBF1DE" w:themeFill="accent3" w:themeFillTint="32"/>
              <w:jc w:val="center"/>
              <w:rPr>
                <w:lang w:eastAsia="ja-JP"/>
              </w:rPr>
            </w:pPr>
            <w:r>
              <w:rPr>
                <w:rFonts w:hint="eastAsia"/>
              </w:rPr>
              <w:t>9.2</w:t>
            </w:r>
          </w:p>
        </w:tc>
        <w:tc>
          <w:tcPr>
            <w:tcW w:w="840" w:type="dxa"/>
            <w:shd w:val="clear" w:color="auto" w:fill="EBF1DE" w:themeFill="accent3" w:themeFillTint="32"/>
            <w:vAlign w:val="center"/>
          </w:tcPr>
          <w:p>
            <w:pPr>
              <w:shd w:val="clear" w:color="auto" w:fill="EBF1DE" w:themeFill="accent3" w:themeFillTint="32"/>
              <w:jc w:val="center"/>
              <w:rPr>
                <w:lang w:eastAsia="ja-JP"/>
              </w:rPr>
            </w:pPr>
            <w:r>
              <w:rPr>
                <w:rFonts w:hint="eastAsia"/>
              </w:rPr>
              <w:t>9.3</w:t>
            </w:r>
          </w:p>
        </w:tc>
        <w:tc>
          <w:tcPr>
            <w:tcW w:w="814" w:type="dxa"/>
            <w:shd w:val="clear" w:color="auto" w:fill="EBF1DE" w:themeFill="accent3" w:themeFillTint="32"/>
            <w:vAlign w:val="center"/>
          </w:tcPr>
          <w:p>
            <w:pPr>
              <w:shd w:val="clear" w:color="auto" w:fill="EBF1DE" w:themeFill="accent3" w:themeFillTint="32"/>
              <w:jc w:val="center"/>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3"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GB"/>
              </w:rPr>
              <w:t>评价*)</w:t>
            </w:r>
          </w:p>
        </w:tc>
        <w:tc>
          <w:tcPr>
            <w:tcW w:w="802"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77"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02"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53"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77"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3</w:t>
            </w:r>
          </w:p>
        </w:tc>
        <w:tc>
          <w:tcPr>
            <w:tcW w:w="852"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9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28"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14"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71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02" w:type="dxa"/>
            <w:shd w:val="clear" w:color="auto" w:fill="EBF1DE" w:themeFill="accent3" w:themeFillTint="32"/>
            <w:vAlign w:val="center"/>
          </w:tcPr>
          <w:p>
            <w:pPr>
              <w:shd w:val="clear" w:color="auto" w:fill="EBF1DE" w:themeFill="accent3" w:themeFillTint="32"/>
              <w:rPr>
                <w:lang w:eastAsia="ja-JP"/>
              </w:rPr>
            </w:pPr>
          </w:p>
        </w:tc>
        <w:tc>
          <w:tcPr>
            <w:tcW w:w="877" w:type="dxa"/>
            <w:shd w:val="clear" w:color="auto" w:fill="EBF1DE" w:themeFill="accent3" w:themeFillTint="32"/>
          </w:tcPr>
          <w:p>
            <w:pPr>
              <w:shd w:val="clear" w:color="auto" w:fill="EBF1DE" w:themeFill="accent3" w:themeFillTint="32"/>
              <w:rPr>
                <w:lang w:eastAsia="ja-JP"/>
              </w:rPr>
            </w:pPr>
          </w:p>
        </w:tc>
        <w:tc>
          <w:tcPr>
            <w:tcW w:w="802" w:type="dxa"/>
            <w:shd w:val="clear" w:color="auto" w:fill="EBF1DE" w:themeFill="accent3" w:themeFillTint="32"/>
            <w:vAlign w:val="center"/>
          </w:tcPr>
          <w:p>
            <w:pPr>
              <w:shd w:val="clear" w:color="auto" w:fill="EBF1DE" w:themeFill="accent3" w:themeFillTint="32"/>
              <w:rPr>
                <w:lang w:eastAsia="ja-JP"/>
              </w:rPr>
            </w:pPr>
          </w:p>
        </w:tc>
        <w:tc>
          <w:tcPr>
            <w:tcW w:w="753" w:type="dxa"/>
            <w:shd w:val="clear" w:color="auto" w:fill="EBF1DE" w:themeFill="accent3" w:themeFillTint="32"/>
            <w:vAlign w:val="center"/>
          </w:tcPr>
          <w:p>
            <w:pPr>
              <w:shd w:val="clear" w:color="auto" w:fill="EBF1DE" w:themeFill="accent3" w:themeFillTint="32"/>
              <w:rPr>
                <w:lang w:eastAsia="ja-JP"/>
              </w:rPr>
            </w:pPr>
          </w:p>
        </w:tc>
        <w:tc>
          <w:tcPr>
            <w:tcW w:w="877"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52" w:type="dxa"/>
            <w:shd w:val="clear" w:color="auto" w:fill="EBF1DE" w:themeFill="accent3" w:themeFillTint="32"/>
            <w:vAlign w:val="center"/>
          </w:tcPr>
          <w:p>
            <w:pPr>
              <w:shd w:val="clear" w:color="auto" w:fill="EBF1DE" w:themeFill="accent3" w:themeFillTint="32"/>
              <w:rPr>
                <w:lang w:eastAsia="ja-JP"/>
              </w:rPr>
            </w:pPr>
          </w:p>
        </w:tc>
        <w:tc>
          <w:tcPr>
            <w:tcW w:w="790" w:type="dxa"/>
            <w:shd w:val="clear" w:color="auto" w:fill="EBF1DE" w:themeFill="accent3" w:themeFillTint="32"/>
            <w:vAlign w:val="center"/>
          </w:tcPr>
          <w:p>
            <w:pPr>
              <w:shd w:val="clear" w:color="auto" w:fill="EBF1DE" w:themeFill="accent3" w:themeFillTint="32"/>
              <w:rPr>
                <w:lang w:eastAsia="ja-JP"/>
              </w:rPr>
            </w:pPr>
          </w:p>
        </w:tc>
        <w:tc>
          <w:tcPr>
            <w:tcW w:w="728" w:type="dxa"/>
            <w:shd w:val="clear" w:color="auto" w:fill="EBF1DE" w:themeFill="accent3" w:themeFillTint="32"/>
            <w:vAlign w:val="center"/>
          </w:tcPr>
          <w:p>
            <w:pPr>
              <w:shd w:val="clear" w:color="auto" w:fill="EBF1DE" w:themeFill="accent3" w:themeFillTint="32"/>
              <w:rPr>
                <w:lang w:eastAsia="ja-JP"/>
              </w:rPr>
            </w:pPr>
          </w:p>
        </w:tc>
        <w:tc>
          <w:tcPr>
            <w:tcW w:w="840" w:type="dxa"/>
            <w:shd w:val="clear" w:color="auto" w:fill="EBF1DE" w:themeFill="accent3" w:themeFillTint="32"/>
            <w:vAlign w:val="center"/>
          </w:tcPr>
          <w:p>
            <w:pPr>
              <w:shd w:val="clear" w:color="auto" w:fill="EBF1DE" w:themeFill="accent3" w:themeFillTint="32"/>
              <w:rPr>
                <w:lang w:eastAsia="ja-JP"/>
              </w:rPr>
            </w:pPr>
          </w:p>
        </w:tc>
        <w:tc>
          <w:tcPr>
            <w:tcW w:w="814"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rPr>
      </w:pPr>
      <w:r>
        <w:tab/>
      </w:r>
      <w:r>
        <w:tab/>
      </w:r>
      <w:r>
        <w:t>4 = 不适用</w:t>
      </w:r>
    </w:p>
    <w:p>
      <w:pPr>
        <w:spacing w:before="40" w:after="40"/>
        <w:rPr>
          <w:rFonts w:hint="eastAsia" w:eastAsia="微软雅黑"/>
          <w:lang w:val="en-US" w:eastAsia="zh-CN"/>
        </w:rPr>
      </w:pPr>
      <w:r>
        <w:rPr>
          <w:rFonts w:hint="eastAsia" w:eastAsia="微软雅黑"/>
          <w:lang w:val="en-US" w:eastAsia="zh-CN"/>
        </w:rPr>
        <w:t xml:space="preserve"> </w:t>
      </w: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2CD14693"/>
    <w:rsid w:val="3BFF6B02"/>
    <w:rsid w:val="59605824"/>
    <w:rsid w:val="6350493C"/>
    <w:rsid w:val="72D53CC0"/>
    <w:rsid w:val="73474D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2022-08-01T02:20:26Z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