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B84B84" w:rsidP="003C1736">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0531-2022-QEO</w:t>
      </w:r>
      <w:bookmarkEnd w:id="0"/>
    </w:p>
    <w:p w:rsidR="00E604D8" w:rsidRDefault="00B84B8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2643"/>
        <w:gridCol w:w="730"/>
        <w:gridCol w:w="546"/>
        <w:gridCol w:w="142"/>
        <w:gridCol w:w="979"/>
        <w:gridCol w:w="580"/>
        <w:gridCol w:w="790"/>
        <w:gridCol w:w="1976"/>
      </w:tblGrid>
      <w:tr w:rsidR="00F37490">
        <w:tc>
          <w:tcPr>
            <w:tcW w:w="1576" w:type="dxa"/>
          </w:tcPr>
          <w:p w:rsidR="00E604D8" w:rsidRDefault="00B84B84">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rsidR="00E604D8" w:rsidRDefault="00B84B84">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山东嘉硕文教用品有限公司</w:t>
            </w:r>
            <w:bookmarkEnd w:id="1"/>
          </w:p>
        </w:tc>
        <w:tc>
          <w:tcPr>
            <w:tcW w:w="1370" w:type="dxa"/>
            <w:gridSpan w:val="2"/>
          </w:tcPr>
          <w:p w:rsidR="00E604D8" w:rsidRDefault="00B84B84">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B84B84">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冷春宇</w:t>
            </w:r>
            <w:bookmarkEnd w:id="2"/>
          </w:p>
        </w:tc>
      </w:tr>
      <w:tr w:rsidR="00F37490">
        <w:tc>
          <w:tcPr>
            <w:tcW w:w="1576" w:type="dxa"/>
          </w:tcPr>
          <w:p w:rsidR="00E604D8" w:rsidRDefault="00B84B84">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5"/>
          </w:tcPr>
          <w:p w:rsidR="00E604D8" w:rsidRDefault="00B5484E">
            <w:pPr>
              <w:snapToGrid w:val="0"/>
              <w:spacing w:line="0" w:lineRule="atLeast"/>
              <w:jc w:val="center"/>
              <w:rPr>
                <w:sz w:val="22"/>
                <w:szCs w:val="22"/>
              </w:rPr>
            </w:pPr>
          </w:p>
        </w:tc>
        <w:tc>
          <w:tcPr>
            <w:tcW w:w="1370" w:type="dxa"/>
            <w:gridSpan w:val="2"/>
          </w:tcPr>
          <w:p w:rsidR="00E604D8" w:rsidRDefault="00B84B84">
            <w:pPr>
              <w:snapToGrid w:val="0"/>
              <w:spacing w:line="0" w:lineRule="atLeast"/>
              <w:jc w:val="center"/>
              <w:rPr>
                <w:sz w:val="22"/>
                <w:szCs w:val="22"/>
              </w:rPr>
            </w:pPr>
            <w:r>
              <w:rPr>
                <w:rFonts w:hint="eastAsia"/>
                <w:sz w:val="22"/>
                <w:szCs w:val="22"/>
                <w:lang w:val="en-GB"/>
              </w:rPr>
              <w:t>证书号</w:t>
            </w:r>
          </w:p>
        </w:tc>
        <w:tc>
          <w:tcPr>
            <w:tcW w:w="1976" w:type="dxa"/>
          </w:tcPr>
          <w:p w:rsidR="00E604D8" w:rsidRDefault="00B84B84">
            <w:pPr>
              <w:snapToGrid w:val="0"/>
              <w:spacing w:line="0" w:lineRule="atLeast"/>
              <w:jc w:val="center"/>
              <w:rPr>
                <w:sz w:val="22"/>
                <w:szCs w:val="22"/>
              </w:rPr>
            </w:pPr>
            <w:bookmarkStart w:id="3" w:name="证书编号"/>
            <w:r>
              <w:rPr>
                <w:sz w:val="22"/>
                <w:szCs w:val="22"/>
              </w:rPr>
              <w:t>Q:,E:,O:</w:t>
            </w:r>
            <w:bookmarkEnd w:id="3"/>
          </w:p>
        </w:tc>
      </w:tr>
      <w:tr w:rsidR="00F37490">
        <w:tc>
          <w:tcPr>
            <w:tcW w:w="1576" w:type="dxa"/>
          </w:tcPr>
          <w:p w:rsidR="00E604D8" w:rsidRDefault="00B84B84">
            <w:pPr>
              <w:snapToGrid w:val="0"/>
              <w:spacing w:line="0" w:lineRule="atLeast"/>
              <w:jc w:val="center"/>
              <w:rPr>
                <w:sz w:val="22"/>
                <w:szCs w:val="22"/>
              </w:rPr>
            </w:pPr>
            <w:r>
              <w:rPr>
                <w:rFonts w:hint="eastAsia"/>
                <w:sz w:val="22"/>
                <w:szCs w:val="22"/>
                <w:lang w:val="en-GB"/>
              </w:rPr>
              <w:t>组织机构代码</w:t>
            </w:r>
          </w:p>
        </w:tc>
        <w:tc>
          <w:tcPr>
            <w:tcW w:w="5040" w:type="dxa"/>
            <w:gridSpan w:val="5"/>
          </w:tcPr>
          <w:p w:rsidR="00E604D8" w:rsidRDefault="00B84B84">
            <w:pPr>
              <w:snapToGrid w:val="0"/>
              <w:spacing w:line="0" w:lineRule="atLeast"/>
              <w:jc w:val="center"/>
              <w:rPr>
                <w:sz w:val="22"/>
                <w:szCs w:val="22"/>
              </w:rPr>
            </w:pPr>
            <w:bookmarkStart w:id="4" w:name="机构代码"/>
            <w:r>
              <w:rPr>
                <w:sz w:val="22"/>
                <w:szCs w:val="22"/>
              </w:rPr>
              <w:t>913717263586480983</w:t>
            </w:r>
            <w:bookmarkEnd w:id="4"/>
          </w:p>
        </w:tc>
        <w:tc>
          <w:tcPr>
            <w:tcW w:w="1370" w:type="dxa"/>
            <w:gridSpan w:val="2"/>
          </w:tcPr>
          <w:p w:rsidR="00E604D8" w:rsidRDefault="00B84B84">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B84B84">
            <w:pPr>
              <w:snapToGrid w:val="0"/>
              <w:spacing w:line="0" w:lineRule="atLeast"/>
              <w:rPr>
                <w:sz w:val="22"/>
                <w:szCs w:val="22"/>
              </w:rPr>
            </w:pPr>
            <w:r>
              <w:rPr>
                <w:rFonts w:ascii="Wingdings" w:hAnsi="Wingdings" w:hint="eastAsia"/>
                <w:sz w:val="22"/>
                <w:szCs w:val="22"/>
              </w:rPr>
              <w:t>¨</w:t>
            </w:r>
            <w:r w:rsidR="003C1736">
              <w:rPr>
                <w:rFonts w:hint="eastAsia"/>
                <w:sz w:val="22"/>
                <w:szCs w:val="22"/>
              </w:rPr>
              <w:t>□</w:t>
            </w:r>
            <w:proofErr w:type="gramStart"/>
            <w:r>
              <w:rPr>
                <w:rFonts w:hint="eastAsia"/>
                <w:sz w:val="22"/>
                <w:szCs w:val="22"/>
              </w:rPr>
              <w:t>带标</w:t>
            </w:r>
            <w:proofErr w:type="gramEnd"/>
            <w:r>
              <w:rPr>
                <w:rFonts w:hint="eastAsia"/>
                <w:sz w:val="22"/>
                <w:szCs w:val="22"/>
              </w:rPr>
              <w:t xml:space="preserve">  </w:t>
            </w:r>
            <w:r w:rsidR="003C1736">
              <w:rPr>
                <w:rFonts w:ascii="宋体" w:hAnsi="宋体" w:hint="eastAsia"/>
                <w:b/>
                <w:sz w:val="21"/>
                <w:szCs w:val="21"/>
              </w:rPr>
              <w:t>■</w:t>
            </w:r>
            <w:r>
              <w:rPr>
                <w:rFonts w:hint="eastAsia"/>
                <w:sz w:val="22"/>
                <w:szCs w:val="22"/>
              </w:rPr>
              <w:t>不带标</w:t>
            </w:r>
          </w:p>
        </w:tc>
      </w:tr>
      <w:tr w:rsidR="00F37490">
        <w:tc>
          <w:tcPr>
            <w:tcW w:w="1576" w:type="dxa"/>
          </w:tcPr>
          <w:p w:rsidR="00E604D8" w:rsidRDefault="00B84B84">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rsidR="00E604D8" w:rsidRDefault="00B84B84">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3C1736">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E604D8" w:rsidRDefault="00B84B84">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B84B84">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B84B84">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B84B84">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B84B84">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B84B84">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B84B84">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B84B84">
            <w:pPr>
              <w:snapToGrid w:val="0"/>
              <w:spacing w:line="0" w:lineRule="atLeast"/>
              <w:jc w:val="center"/>
              <w:rPr>
                <w:sz w:val="22"/>
                <w:szCs w:val="22"/>
              </w:rPr>
            </w:pPr>
            <w:r>
              <w:rPr>
                <w:rFonts w:hint="eastAsia"/>
                <w:sz w:val="22"/>
                <w:szCs w:val="22"/>
              </w:rPr>
              <w:t>企业体系有效人数</w:t>
            </w:r>
          </w:p>
        </w:tc>
        <w:tc>
          <w:tcPr>
            <w:tcW w:w="1976" w:type="dxa"/>
          </w:tcPr>
          <w:p w:rsidR="00E604D8" w:rsidRDefault="00B84B84">
            <w:pPr>
              <w:snapToGrid w:val="0"/>
              <w:spacing w:line="0" w:lineRule="atLeast"/>
              <w:jc w:val="center"/>
              <w:rPr>
                <w:sz w:val="22"/>
                <w:szCs w:val="22"/>
              </w:rPr>
            </w:pPr>
            <w:bookmarkStart w:id="12" w:name="体系人数"/>
            <w:r>
              <w:rPr>
                <w:sz w:val="22"/>
                <w:szCs w:val="22"/>
              </w:rPr>
              <w:t>Q:15,E:15,O:15</w:t>
            </w:r>
            <w:bookmarkEnd w:id="12"/>
          </w:p>
        </w:tc>
      </w:tr>
      <w:tr w:rsidR="00F37490">
        <w:tc>
          <w:tcPr>
            <w:tcW w:w="1576" w:type="dxa"/>
          </w:tcPr>
          <w:p w:rsidR="00E604D8" w:rsidRDefault="00B84B84">
            <w:pPr>
              <w:snapToGrid w:val="0"/>
              <w:spacing w:line="0" w:lineRule="atLeast"/>
              <w:jc w:val="center"/>
              <w:rPr>
                <w:sz w:val="22"/>
                <w:szCs w:val="22"/>
              </w:rPr>
            </w:pPr>
            <w:r>
              <w:rPr>
                <w:rFonts w:hint="eastAsia"/>
                <w:sz w:val="22"/>
                <w:szCs w:val="22"/>
              </w:rPr>
              <w:t>审核类型</w:t>
            </w:r>
          </w:p>
        </w:tc>
        <w:tc>
          <w:tcPr>
            <w:tcW w:w="8386" w:type="dxa"/>
            <w:gridSpan w:val="8"/>
          </w:tcPr>
          <w:p w:rsidR="00E604D8" w:rsidRDefault="00B84B84">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F37490">
        <w:tc>
          <w:tcPr>
            <w:tcW w:w="1576" w:type="dxa"/>
          </w:tcPr>
          <w:p w:rsidR="00E604D8" w:rsidRDefault="00B84B84">
            <w:pPr>
              <w:snapToGrid w:val="0"/>
              <w:spacing w:line="0" w:lineRule="atLeast"/>
              <w:jc w:val="center"/>
              <w:rPr>
                <w:sz w:val="22"/>
                <w:szCs w:val="22"/>
              </w:rPr>
            </w:pPr>
            <w:r>
              <w:rPr>
                <w:rFonts w:hint="eastAsia"/>
                <w:sz w:val="22"/>
                <w:szCs w:val="22"/>
              </w:rPr>
              <w:t>变更内容</w:t>
            </w:r>
          </w:p>
        </w:tc>
        <w:tc>
          <w:tcPr>
            <w:tcW w:w="8386" w:type="dxa"/>
            <w:gridSpan w:val="8"/>
          </w:tcPr>
          <w:p w:rsidR="00E604D8" w:rsidRDefault="00B84B84">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F37490">
        <w:tc>
          <w:tcPr>
            <w:tcW w:w="9962" w:type="dxa"/>
            <w:gridSpan w:val="9"/>
            <w:shd w:val="clear" w:color="auto" w:fill="A1D79A" w:themeFill="background1" w:themeFillShade="D8"/>
          </w:tcPr>
          <w:p w:rsidR="00E604D8" w:rsidRDefault="00B84B84">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37490">
        <w:tc>
          <w:tcPr>
            <w:tcW w:w="1576" w:type="dxa"/>
          </w:tcPr>
          <w:p w:rsidR="00E604D8" w:rsidRDefault="00B5484E">
            <w:pPr>
              <w:snapToGrid w:val="0"/>
              <w:spacing w:line="0" w:lineRule="atLeast"/>
              <w:jc w:val="left"/>
              <w:rPr>
                <w:sz w:val="22"/>
                <w:szCs w:val="22"/>
              </w:rPr>
            </w:pPr>
          </w:p>
        </w:tc>
        <w:tc>
          <w:tcPr>
            <w:tcW w:w="3373" w:type="dxa"/>
            <w:gridSpan w:val="2"/>
          </w:tcPr>
          <w:p w:rsidR="00E604D8" w:rsidRDefault="00B84B84">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B84B84">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37490">
        <w:trPr>
          <w:trHeight w:val="312"/>
        </w:trPr>
        <w:tc>
          <w:tcPr>
            <w:tcW w:w="1576" w:type="dxa"/>
          </w:tcPr>
          <w:p w:rsidR="00E604D8" w:rsidRDefault="00B84B84">
            <w:pPr>
              <w:snapToGrid w:val="0"/>
              <w:spacing w:line="0" w:lineRule="atLeast"/>
              <w:jc w:val="left"/>
              <w:rPr>
                <w:sz w:val="22"/>
                <w:szCs w:val="22"/>
              </w:rPr>
            </w:pPr>
            <w:r>
              <w:rPr>
                <w:rFonts w:hint="eastAsia"/>
                <w:sz w:val="22"/>
                <w:szCs w:val="22"/>
                <w:lang w:val="en-GB"/>
              </w:rPr>
              <w:t>公司名称</w:t>
            </w:r>
          </w:p>
        </w:tc>
        <w:tc>
          <w:tcPr>
            <w:tcW w:w="3373" w:type="dxa"/>
            <w:gridSpan w:val="2"/>
          </w:tcPr>
          <w:p w:rsidR="00E604D8" w:rsidRDefault="003C1736">
            <w:pPr>
              <w:snapToGrid w:val="0"/>
              <w:spacing w:line="0" w:lineRule="atLeast"/>
              <w:jc w:val="left"/>
              <w:rPr>
                <w:sz w:val="22"/>
                <w:szCs w:val="22"/>
                <w:lang w:val="en-GB"/>
              </w:rPr>
            </w:pPr>
            <w:bookmarkStart w:id="17" w:name="组织名称Add1"/>
            <w:r>
              <w:rPr>
                <w:rFonts w:hint="eastAsia"/>
                <w:sz w:val="22"/>
                <w:szCs w:val="22"/>
              </w:rPr>
              <w:t>山东嘉硕文教用品有限公司</w:t>
            </w:r>
            <w:bookmarkEnd w:id="17"/>
          </w:p>
        </w:tc>
        <w:tc>
          <w:tcPr>
            <w:tcW w:w="5013" w:type="dxa"/>
            <w:gridSpan w:val="6"/>
            <w:vMerge w:val="restart"/>
          </w:tcPr>
          <w:p w:rsidR="00E604D8" w:rsidRDefault="00B84B84">
            <w:pPr>
              <w:snapToGrid w:val="0"/>
              <w:spacing w:line="0" w:lineRule="atLeast"/>
              <w:jc w:val="left"/>
              <w:rPr>
                <w:sz w:val="22"/>
                <w:szCs w:val="22"/>
              </w:rPr>
            </w:pPr>
            <w:bookmarkStart w:id="18" w:name="审核范围"/>
            <w:r>
              <w:rPr>
                <w:sz w:val="22"/>
                <w:szCs w:val="22"/>
              </w:rPr>
              <w:t>Q</w:t>
            </w:r>
            <w:r>
              <w:rPr>
                <w:sz w:val="22"/>
                <w:szCs w:val="22"/>
              </w:rPr>
              <w:t>：教学仪器、实验室成套设备、音体美卫劳器材、幼儿玩具、办公用品、课桌椅、床、校服、公寓用品、厨房设备、餐具、办公家具、公寓家具、心理咨询室设备、地理历史教室设备、家用电器、数码产品、监控设备、环保仪器、玻璃仪器的销售</w:t>
            </w:r>
          </w:p>
          <w:p w:rsidR="00E604D8" w:rsidRDefault="00B84B84">
            <w:pPr>
              <w:snapToGrid w:val="0"/>
              <w:spacing w:line="0" w:lineRule="atLeast"/>
              <w:jc w:val="left"/>
              <w:rPr>
                <w:sz w:val="22"/>
                <w:szCs w:val="22"/>
              </w:rPr>
            </w:pPr>
            <w:r>
              <w:rPr>
                <w:sz w:val="22"/>
                <w:szCs w:val="22"/>
              </w:rPr>
              <w:t>E</w:t>
            </w:r>
            <w:r>
              <w:rPr>
                <w:sz w:val="22"/>
                <w:szCs w:val="22"/>
              </w:rPr>
              <w:t>：教学仪器、实验室成套设备、音体美卫劳器材、幼儿玩具、办公用品、课桌椅、床、校服、公寓用品、厨房设备、餐具、办公家具、公寓家具、心理咨询室设备、地理历史教室设备、家用电器、数码产品、监控设备、环保仪器、玻璃仪器的销售所涉及场所的相关环境管理活动</w:t>
            </w:r>
          </w:p>
          <w:p w:rsidR="00E604D8" w:rsidRDefault="00B84B84">
            <w:pPr>
              <w:snapToGrid w:val="0"/>
              <w:spacing w:line="0" w:lineRule="atLeast"/>
              <w:jc w:val="left"/>
              <w:rPr>
                <w:sz w:val="22"/>
                <w:szCs w:val="22"/>
              </w:rPr>
            </w:pPr>
            <w:r>
              <w:rPr>
                <w:sz w:val="22"/>
                <w:szCs w:val="22"/>
              </w:rPr>
              <w:t>O</w:t>
            </w:r>
            <w:r>
              <w:rPr>
                <w:sz w:val="22"/>
                <w:szCs w:val="22"/>
              </w:rPr>
              <w:t>：教学仪器、实验室成套设备、音体美卫劳器材、幼儿玩具、办公用品、课桌椅、床、校服、公寓用品、厨房设备、餐具、办公家具、公寓家具、心理咨询室设备、地理历史教室设备、家用电器、数码产品、监控设备、环保仪器、玻璃仪器的销售所涉及场所的相关职业健康安全管理活动</w:t>
            </w:r>
            <w:bookmarkEnd w:id="18"/>
          </w:p>
        </w:tc>
      </w:tr>
      <w:tr w:rsidR="00F37490">
        <w:trPr>
          <w:trHeight w:val="376"/>
        </w:trPr>
        <w:tc>
          <w:tcPr>
            <w:tcW w:w="1576" w:type="dxa"/>
          </w:tcPr>
          <w:p w:rsidR="00E604D8" w:rsidRDefault="00B84B84">
            <w:pPr>
              <w:snapToGrid w:val="0"/>
              <w:spacing w:line="0" w:lineRule="atLeast"/>
              <w:jc w:val="left"/>
              <w:rPr>
                <w:sz w:val="22"/>
                <w:szCs w:val="22"/>
              </w:rPr>
            </w:pPr>
            <w:r>
              <w:rPr>
                <w:rFonts w:hint="eastAsia"/>
                <w:sz w:val="22"/>
                <w:szCs w:val="22"/>
                <w:lang w:val="en-GB"/>
              </w:rPr>
              <w:t>注册地址</w:t>
            </w:r>
          </w:p>
        </w:tc>
        <w:tc>
          <w:tcPr>
            <w:tcW w:w="3373" w:type="dxa"/>
            <w:gridSpan w:val="2"/>
          </w:tcPr>
          <w:p w:rsidR="00E604D8" w:rsidRDefault="00B84B84">
            <w:pPr>
              <w:snapToGrid w:val="0"/>
              <w:spacing w:line="0" w:lineRule="atLeast"/>
              <w:jc w:val="left"/>
              <w:rPr>
                <w:sz w:val="22"/>
                <w:szCs w:val="22"/>
              </w:rPr>
            </w:pPr>
            <w:bookmarkStart w:id="19" w:name="注册地址"/>
            <w:r>
              <w:rPr>
                <w:rFonts w:hint="eastAsia"/>
                <w:sz w:val="22"/>
                <w:szCs w:val="22"/>
                <w:lang w:val="en-GB"/>
              </w:rPr>
              <w:t>山东省菏泽市鄄城县旧城镇政府西临</w:t>
            </w:r>
            <w:r>
              <w:rPr>
                <w:rFonts w:hint="eastAsia"/>
                <w:sz w:val="22"/>
                <w:szCs w:val="22"/>
                <w:lang w:val="en-GB"/>
              </w:rPr>
              <w:t>777</w:t>
            </w:r>
            <w:r>
              <w:rPr>
                <w:rFonts w:hint="eastAsia"/>
                <w:sz w:val="22"/>
                <w:szCs w:val="22"/>
                <w:lang w:val="en-GB"/>
              </w:rPr>
              <w:t>号</w:t>
            </w:r>
            <w:bookmarkEnd w:id="19"/>
          </w:p>
        </w:tc>
        <w:tc>
          <w:tcPr>
            <w:tcW w:w="5013" w:type="dxa"/>
            <w:gridSpan w:val="6"/>
            <w:vMerge/>
          </w:tcPr>
          <w:p w:rsidR="00E604D8" w:rsidRDefault="00B5484E">
            <w:pPr>
              <w:snapToGrid w:val="0"/>
              <w:spacing w:line="0" w:lineRule="atLeast"/>
              <w:jc w:val="left"/>
              <w:rPr>
                <w:sz w:val="22"/>
                <w:szCs w:val="22"/>
              </w:rPr>
            </w:pPr>
          </w:p>
        </w:tc>
      </w:tr>
      <w:tr w:rsidR="00F37490">
        <w:trPr>
          <w:trHeight w:val="437"/>
        </w:trPr>
        <w:tc>
          <w:tcPr>
            <w:tcW w:w="1576" w:type="dxa"/>
          </w:tcPr>
          <w:p w:rsidR="00E604D8" w:rsidRDefault="00B84B84">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E604D8" w:rsidRDefault="00B84B84">
            <w:pPr>
              <w:snapToGrid w:val="0"/>
              <w:spacing w:line="0" w:lineRule="atLeast"/>
              <w:jc w:val="left"/>
              <w:rPr>
                <w:sz w:val="22"/>
                <w:szCs w:val="22"/>
              </w:rPr>
            </w:pPr>
            <w:bookmarkStart w:id="20" w:name="办公地址"/>
            <w:r>
              <w:rPr>
                <w:rFonts w:hint="eastAsia"/>
                <w:sz w:val="22"/>
                <w:szCs w:val="22"/>
                <w:lang w:val="en-GB"/>
              </w:rPr>
              <w:t>山东省菏泽市鄄城县凤凰路路西万星</w:t>
            </w:r>
            <w:proofErr w:type="gramStart"/>
            <w:r>
              <w:rPr>
                <w:rFonts w:hint="eastAsia"/>
                <w:sz w:val="22"/>
                <w:szCs w:val="22"/>
                <w:lang w:val="en-GB"/>
              </w:rPr>
              <w:t>能源北</w:t>
            </w:r>
            <w:proofErr w:type="gramEnd"/>
            <w:r>
              <w:rPr>
                <w:rFonts w:hint="eastAsia"/>
                <w:sz w:val="22"/>
                <w:szCs w:val="22"/>
                <w:lang w:val="en-GB"/>
              </w:rPr>
              <w:t>邻</w:t>
            </w:r>
            <w:bookmarkEnd w:id="20"/>
          </w:p>
        </w:tc>
        <w:tc>
          <w:tcPr>
            <w:tcW w:w="5013" w:type="dxa"/>
            <w:gridSpan w:val="6"/>
            <w:vMerge/>
          </w:tcPr>
          <w:p w:rsidR="00E604D8" w:rsidRDefault="00B5484E">
            <w:pPr>
              <w:snapToGrid w:val="0"/>
              <w:spacing w:line="0" w:lineRule="atLeast"/>
              <w:jc w:val="left"/>
              <w:rPr>
                <w:sz w:val="22"/>
                <w:szCs w:val="22"/>
              </w:rPr>
            </w:pPr>
          </w:p>
        </w:tc>
      </w:tr>
      <w:tr w:rsidR="00F37490">
        <w:tc>
          <w:tcPr>
            <w:tcW w:w="9962" w:type="dxa"/>
            <w:gridSpan w:val="9"/>
            <w:shd w:val="clear" w:color="auto" w:fill="A1D79A" w:themeFill="background1" w:themeFillShade="D8"/>
          </w:tcPr>
          <w:p w:rsidR="00E604D8" w:rsidRDefault="00B84B84">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F37490" w:rsidTr="003C1736">
        <w:tc>
          <w:tcPr>
            <w:tcW w:w="1576" w:type="dxa"/>
          </w:tcPr>
          <w:p w:rsidR="00E604D8" w:rsidRDefault="00B5484E">
            <w:pPr>
              <w:snapToGrid w:val="0"/>
              <w:spacing w:line="0" w:lineRule="atLeast"/>
              <w:jc w:val="left"/>
              <w:rPr>
                <w:sz w:val="22"/>
                <w:szCs w:val="22"/>
              </w:rPr>
            </w:pPr>
          </w:p>
        </w:tc>
        <w:tc>
          <w:tcPr>
            <w:tcW w:w="2643" w:type="dxa"/>
          </w:tcPr>
          <w:p w:rsidR="00E604D8" w:rsidRDefault="00B84B8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743" w:type="dxa"/>
            <w:gridSpan w:val="7"/>
          </w:tcPr>
          <w:p w:rsidR="00E604D8" w:rsidRDefault="00B84B84">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B84B84">
            <w:pPr>
              <w:snapToGrid w:val="0"/>
              <w:spacing w:line="0" w:lineRule="atLeast"/>
              <w:jc w:val="left"/>
              <w:rPr>
                <w:sz w:val="22"/>
                <w:szCs w:val="22"/>
              </w:rPr>
            </w:pPr>
            <w:r>
              <w:rPr>
                <w:rFonts w:hint="eastAsia"/>
                <w:sz w:val="22"/>
                <w:szCs w:val="22"/>
                <w:lang w:val="en-GB"/>
              </w:rPr>
              <w:t>English Scope</w:t>
            </w:r>
          </w:p>
        </w:tc>
      </w:tr>
      <w:tr w:rsidR="00F37490" w:rsidTr="003C1736">
        <w:trPr>
          <w:trHeight w:val="387"/>
        </w:trPr>
        <w:tc>
          <w:tcPr>
            <w:tcW w:w="1576" w:type="dxa"/>
            <w:vMerge w:val="restart"/>
          </w:tcPr>
          <w:p w:rsidR="00E604D8" w:rsidRDefault="00B84B84">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643" w:type="dxa"/>
            <w:vMerge w:val="restart"/>
          </w:tcPr>
          <w:p w:rsidR="00E604D8" w:rsidRDefault="003C1736" w:rsidP="003C1736">
            <w:pPr>
              <w:snapToGrid w:val="0"/>
              <w:spacing w:line="0" w:lineRule="atLeast"/>
              <w:jc w:val="left"/>
              <w:rPr>
                <w:sz w:val="22"/>
                <w:szCs w:val="22"/>
              </w:rPr>
            </w:pPr>
            <w:r w:rsidRPr="003C1736">
              <w:rPr>
                <w:rFonts w:cs="Arial"/>
                <w:b/>
                <w:bCs/>
                <w:sz w:val="22"/>
                <w:szCs w:val="16"/>
              </w:rPr>
              <w:t xml:space="preserve">Shandong </w:t>
            </w:r>
            <w:proofErr w:type="spellStart"/>
            <w:r>
              <w:rPr>
                <w:rFonts w:cs="Arial" w:hint="eastAsia"/>
                <w:b/>
                <w:bCs/>
                <w:sz w:val="22"/>
                <w:szCs w:val="16"/>
              </w:rPr>
              <w:t>J</w:t>
            </w:r>
            <w:r w:rsidRPr="003C1736">
              <w:rPr>
                <w:rFonts w:cs="Arial"/>
                <w:b/>
                <w:bCs/>
                <w:sz w:val="22"/>
                <w:szCs w:val="16"/>
              </w:rPr>
              <w:t>iashuo</w:t>
            </w:r>
            <w:proofErr w:type="spellEnd"/>
            <w:r w:rsidRPr="003C1736">
              <w:rPr>
                <w:rFonts w:cs="Arial"/>
                <w:b/>
                <w:bCs/>
                <w:sz w:val="22"/>
                <w:szCs w:val="16"/>
              </w:rPr>
              <w:t xml:space="preserve"> </w:t>
            </w:r>
            <w:r>
              <w:rPr>
                <w:rFonts w:cs="Arial" w:hint="eastAsia"/>
                <w:b/>
                <w:bCs/>
                <w:sz w:val="22"/>
                <w:szCs w:val="16"/>
              </w:rPr>
              <w:t>C</w:t>
            </w:r>
            <w:r w:rsidRPr="003C1736">
              <w:rPr>
                <w:rFonts w:cs="Arial"/>
                <w:b/>
                <w:bCs/>
                <w:sz w:val="22"/>
                <w:szCs w:val="16"/>
              </w:rPr>
              <w:t xml:space="preserve">ulture and </w:t>
            </w:r>
            <w:r>
              <w:rPr>
                <w:rFonts w:cs="Arial" w:hint="eastAsia"/>
                <w:b/>
                <w:bCs/>
                <w:sz w:val="22"/>
                <w:szCs w:val="16"/>
              </w:rPr>
              <w:t>E</w:t>
            </w:r>
            <w:r w:rsidRPr="003C1736">
              <w:rPr>
                <w:rFonts w:cs="Arial"/>
                <w:b/>
                <w:bCs/>
                <w:sz w:val="22"/>
                <w:szCs w:val="16"/>
              </w:rPr>
              <w:t xml:space="preserve">ducation </w:t>
            </w:r>
            <w:r>
              <w:rPr>
                <w:rFonts w:cs="Arial" w:hint="eastAsia"/>
                <w:b/>
                <w:bCs/>
                <w:sz w:val="22"/>
                <w:szCs w:val="16"/>
              </w:rPr>
              <w:t>P</w:t>
            </w:r>
            <w:r w:rsidRPr="003C1736">
              <w:rPr>
                <w:rFonts w:cs="Arial"/>
                <w:b/>
                <w:bCs/>
                <w:sz w:val="22"/>
                <w:szCs w:val="16"/>
              </w:rPr>
              <w:t xml:space="preserve">roducts </w:t>
            </w:r>
            <w:proofErr w:type="spellStart"/>
            <w:r w:rsidR="00B84B84">
              <w:rPr>
                <w:rFonts w:cs="Arial"/>
                <w:b/>
                <w:bCs/>
                <w:sz w:val="22"/>
                <w:szCs w:val="16"/>
              </w:rPr>
              <w:t>Co.Ltd</w:t>
            </w:r>
            <w:proofErr w:type="spellEnd"/>
          </w:p>
        </w:tc>
        <w:tc>
          <w:tcPr>
            <w:tcW w:w="1418" w:type="dxa"/>
            <w:gridSpan w:val="3"/>
          </w:tcPr>
          <w:p w:rsidR="00E604D8" w:rsidRDefault="00B84B84">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4325" w:type="dxa"/>
            <w:gridSpan w:val="4"/>
          </w:tcPr>
          <w:p w:rsidR="00E604D8" w:rsidRDefault="003C1736">
            <w:pPr>
              <w:snapToGrid w:val="0"/>
              <w:spacing w:line="0" w:lineRule="atLeast"/>
              <w:jc w:val="left"/>
              <w:rPr>
                <w:sz w:val="21"/>
                <w:szCs w:val="16"/>
              </w:rPr>
            </w:pPr>
            <w:r w:rsidRPr="003C1736">
              <w:rPr>
                <w:sz w:val="22"/>
                <w:szCs w:val="22"/>
              </w:rPr>
              <w:t xml:space="preserve">Sales of teaching instruments, complete sets of laboratory equipment, musical and physical beauty and health care equipment, children's toys, office supplies, desks and chairs, beds, school uniforms, apartment supplies, kitchen equipment, tableware, office furniture, apartment furniture, psychological </w:t>
            </w:r>
            <w:bookmarkStart w:id="21" w:name="_GoBack"/>
            <w:r w:rsidR="00CE47E4">
              <w:rPr>
                <w:noProof/>
                <w:sz w:val="22"/>
                <w:szCs w:val="22"/>
              </w:rPr>
              <w:lastRenderedPageBreak/>
              <w:drawing>
                <wp:anchor distT="0" distB="0" distL="114300" distR="114300" simplePos="0" relativeHeight="251659264" behindDoc="0" locked="0" layoutInCell="1" allowOverlap="1" wp14:anchorId="0F83A5F1" wp14:editId="4881C94B">
                  <wp:simplePos x="0" y="0"/>
                  <wp:positionH relativeFrom="column">
                    <wp:posOffset>-4037330</wp:posOffset>
                  </wp:positionH>
                  <wp:positionV relativeFrom="paragraph">
                    <wp:posOffset>-600075</wp:posOffset>
                  </wp:positionV>
                  <wp:extent cx="7200000" cy="9609724"/>
                  <wp:effectExtent l="0" t="0" r="0" b="0"/>
                  <wp:wrapNone/>
                  <wp:docPr id="1" name="图片 1" descr="E:\360安全云盘同步版\国标联合审核\202207\山东嘉硕文教用品有限公司\新建文件夹\扫描全能王 2022-07-31 09.5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嘉硕文教用品有限公司\新建文件夹\扫描全能王 2022-07-31 09.56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Pr="003C1736">
              <w:rPr>
                <w:sz w:val="22"/>
                <w:szCs w:val="22"/>
              </w:rPr>
              <w:t>consultation room equipment, geography and history classroom equipment, household appliances, digital products, monitoring equipment, environmental protection equipment, and glass instruments.</w:t>
            </w:r>
          </w:p>
        </w:tc>
      </w:tr>
      <w:tr w:rsidR="00F37490" w:rsidTr="003C1736">
        <w:trPr>
          <w:trHeight w:val="446"/>
        </w:trPr>
        <w:tc>
          <w:tcPr>
            <w:tcW w:w="1576" w:type="dxa"/>
            <w:vMerge/>
          </w:tcPr>
          <w:p w:rsidR="00E604D8" w:rsidRDefault="00B5484E">
            <w:pPr>
              <w:snapToGrid w:val="0"/>
              <w:spacing w:line="0" w:lineRule="atLeast"/>
              <w:jc w:val="left"/>
              <w:rPr>
                <w:rFonts w:cs="Arial"/>
                <w:b/>
                <w:bCs/>
                <w:sz w:val="22"/>
                <w:szCs w:val="16"/>
              </w:rPr>
            </w:pPr>
          </w:p>
        </w:tc>
        <w:tc>
          <w:tcPr>
            <w:tcW w:w="2643" w:type="dxa"/>
            <w:vMerge/>
          </w:tcPr>
          <w:p w:rsidR="00E604D8" w:rsidRDefault="00B5484E">
            <w:pPr>
              <w:snapToGrid w:val="0"/>
              <w:spacing w:line="0" w:lineRule="atLeast"/>
              <w:jc w:val="left"/>
              <w:rPr>
                <w:rFonts w:cs="Arial"/>
                <w:b/>
                <w:bCs/>
                <w:sz w:val="22"/>
                <w:szCs w:val="16"/>
              </w:rPr>
            </w:pPr>
          </w:p>
        </w:tc>
        <w:tc>
          <w:tcPr>
            <w:tcW w:w="1418" w:type="dxa"/>
            <w:gridSpan w:val="3"/>
          </w:tcPr>
          <w:p w:rsidR="00E604D8" w:rsidRDefault="00B84B84">
            <w:pPr>
              <w:snapToGrid w:val="0"/>
              <w:spacing w:line="0" w:lineRule="atLeast"/>
              <w:jc w:val="left"/>
              <w:rPr>
                <w:sz w:val="22"/>
                <w:szCs w:val="22"/>
              </w:rPr>
            </w:pPr>
            <w:r>
              <w:rPr>
                <w:rFonts w:hint="eastAsia"/>
                <w:sz w:val="22"/>
                <w:szCs w:val="22"/>
              </w:rPr>
              <w:t>EMS</w:t>
            </w:r>
          </w:p>
        </w:tc>
        <w:tc>
          <w:tcPr>
            <w:tcW w:w="4325" w:type="dxa"/>
            <w:gridSpan w:val="4"/>
          </w:tcPr>
          <w:p w:rsidR="00E604D8" w:rsidRDefault="003C1736">
            <w:pPr>
              <w:snapToGrid w:val="0"/>
              <w:spacing w:line="0" w:lineRule="atLeast"/>
              <w:jc w:val="left"/>
              <w:rPr>
                <w:sz w:val="21"/>
                <w:szCs w:val="16"/>
              </w:rPr>
            </w:pPr>
            <w:r w:rsidRPr="003C1736">
              <w:rPr>
                <w:sz w:val="21"/>
                <w:szCs w:val="16"/>
              </w:rPr>
              <w:t>Relevant environmental management activities of the places involved in the sales of teaching instruments, complete sets of laboratory equipment, music and health care equipment, children's toys, office supplies, desks and chairs, beds, school uniforms, apartment supplies, kitchen equipment, tableware, office furniture, apartment furniture, psychological consultation room equipment, geography and history classroom equipment, household appliances, digital products, monitoring equipment, environmental protection equipment and glass instruments.</w:t>
            </w:r>
          </w:p>
        </w:tc>
      </w:tr>
      <w:tr w:rsidR="00F37490" w:rsidTr="003C1736">
        <w:trPr>
          <w:trHeight w:val="412"/>
        </w:trPr>
        <w:tc>
          <w:tcPr>
            <w:tcW w:w="1576" w:type="dxa"/>
            <w:vMerge w:val="restart"/>
          </w:tcPr>
          <w:p w:rsidR="00E604D8" w:rsidRDefault="00B84B8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2643" w:type="dxa"/>
            <w:vMerge w:val="restart"/>
          </w:tcPr>
          <w:p w:rsidR="00E604D8" w:rsidRDefault="003C1736">
            <w:pPr>
              <w:snapToGrid w:val="0"/>
              <w:spacing w:line="0" w:lineRule="atLeast"/>
              <w:jc w:val="left"/>
              <w:rPr>
                <w:sz w:val="22"/>
                <w:szCs w:val="22"/>
              </w:rPr>
            </w:pPr>
            <w:r w:rsidRPr="003C1736">
              <w:rPr>
                <w:rFonts w:cs="Arial"/>
                <w:b/>
                <w:bCs/>
                <w:sz w:val="22"/>
                <w:szCs w:val="16"/>
              </w:rPr>
              <w:t xml:space="preserve">No.777, West of Old Town Government, </w:t>
            </w:r>
            <w:proofErr w:type="spellStart"/>
            <w:r w:rsidRPr="003C1736">
              <w:rPr>
                <w:rFonts w:cs="Arial"/>
                <w:b/>
                <w:bCs/>
                <w:sz w:val="22"/>
                <w:szCs w:val="16"/>
              </w:rPr>
              <w:t>Juancheng</w:t>
            </w:r>
            <w:proofErr w:type="spellEnd"/>
            <w:r w:rsidRPr="003C1736">
              <w:rPr>
                <w:rFonts w:cs="Arial"/>
                <w:b/>
                <w:bCs/>
                <w:sz w:val="22"/>
                <w:szCs w:val="16"/>
              </w:rPr>
              <w:t xml:space="preserve"> County, </w:t>
            </w:r>
            <w:proofErr w:type="spellStart"/>
            <w:r w:rsidRPr="003C1736">
              <w:rPr>
                <w:rFonts w:cs="Arial"/>
                <w:b/>
                <w:bCs/>
                <w:sz w:val="22"/>
                <w:szCs w:val="16"/>
              </w:rPr>
              <w:t>Heze</w:t>
            </w:r>
            <w:proofErr w:type="spellEnd"/>
            <w:r w:rsidRPr="003C1736">
              <w:rPr>
                <w:rFonts w:cs="Arial"/>
                <w:b/>
                <w:bCs/>
                <w:sz w:val="22"/>
                <w:szCs w:val="16"/>
              </w:rPr>
              <w:t xml:space="preserve"> City, Shandong Province</w:t>
            </w:r>
            <w:r>
              <w:rPr>
                <w:rFonts w:cs="Arial" w:hint="eastAsia"/>
                <w:b/>
                <w:bCs/>
                <w:sz w:val="22"/>
                <w:szCs w:val="16"/>
              </w:rPr>
              <w:t>.</w:t>
            </w:r>
          </w:p>
        </w:tc>
        <w:tc>
          <w:tcPr>
            <w:tcW w:w="1418" w:type="dxa"/>
            <w:gridSpan w:val="3"/>
          </w:tcPr>
          <w:p w:rsidR="00E604D8" w:rsidRDefault="00B84B84">
            <w:pPr>
              <w:snapToGrid w:val="0"/>
              <w:spacing w:line="0" w:lineRule="atLeast"/>
              <w:jc w:val="left"/>
              <w:rPr>
                <w:sz w:val="22"/>
                <w:szCs w:val="22"/>
              </w:rPr>
            </w:pPr>
            <w:r>
              <w:rPr>
                <w:rFonts w:hint="eastAsia"/>
                <w:sz w:val="22"/>
                <w:szCs w:val="22"/>
              </w:rPr>
              <w:t>OHSMS</w:t>
            </w:r>
          </w:p>
        </w:tc>
        <w:tc>
          <w:tcPr>
            <w:tcW w:w="4325" w:type="dxa"/>
            <w:gridSpan w:val="4"/>
          </w:tcPr>
          <w:p w:rsidR="00E604D8" w:rsidRDefault="003C1736">
            <w:pPr>
              <w:snapToGrid w:val="0"/>
              <w:spacing w:line="0" w:lineRule="atLeast"/>
              <w:jc w:val="left"/>
              <w:rPr>
                <w:sz w:val="22"/>
                <w:szCs w:val="22"/>
              </w:rPr>
            </w:pPr>
            <w:r w:rsidRPr="003C1736">
              <w:rPr>
                <w:sz w:val="22"/>
                <w:szCs w:val="22"/>
              </w:rPr>
              <w:t>Relevant occupational health and safety management activities in the places involved in the sales of teaching instruments, laboratory complete sets of equipment, music and health care equipment, children's toys, office supplies, desks and chairs, beds, school uniforms, apartment supplies, kitchen equipment, tableware, office furniture, apartment furniture, psychological consultation room equipment, geography and history classroom equipment, household appliances, digital products, monitoring equipment, environmental protection equipment and glass instruments.</w:t>
            </w:r>
          </w:p>
        </w:tc>
      </w:tr>
      <w:tr w:rsidR="00F37490" w:rsidTr="003C1736">
        <w:trPr>
          <w:trHeight w:val="421"/>
        </w:trPr>
        <w:tc>
          <w:tcPr>
            <w:tcW w:w="1576" w:type="dxa"/>
            <w:vMerge/>
          </w:tcPr>
          <w:p w:rsidR="00E604D8" w:rsidRDefault="00B5484E">
            <w:pPr>
              <w:snapToGrid w:val="0"/>
              <w:spacing w:line="0" w:lineRule="atLeast"/>
              <w:jc w:val="left"/>
              <w:rPr>
                <w:sz w:val="22"/>
                <w:szCs w:val="16"/>
              </w:rPr>
            </w:pPr>
          </w:p>
        </w:tc>
        <w:tc>
          <w:tcPr>
            <w:tcW w:w="2643" w:type="dxa"/>
            <w:vMerge/>
          </w:tcPr>
          <w:p w:rsidR="00E604D8" w:rsidRDefault="00B5484E">
            <w:pPr>
              <w:snapToGrid w:val="0"/>
              <w:spacing w:line="0" w:lineRule="atLeast"/>
              <w:jc w:val="left"/>
              <w:rPr>
                <w:rFonts w:cs="Arial"/>
                <w:b/>
                <w:bCs/>
                <w:sz w:val="22"/>
                <w:szCs w:val="16"/>
              </w:rPr>
            </w:pPr>
          </w:p>
        </w:tc>
        <w:tc>
          <w:tcPr>
            <w:tcW w:w="1418" w:type="dxa"/>
            <w:gridSpan w:val="3"/>
          </w:tcPr>
          <w:p w:rsidR="00E604D8" w:rsidRDefault="00B84B84">
            <w:pPr>
              <w:snapToGrid w:val="0"/>
              <w:spacing w:line="0" w:lineRule="atLeast"/>
              <w:jc w:val="left"/>
              <w:rPr>
                <w:sz w:val="22"/>
                <w:szCs w:val="22"/>
              </w:rPr>
            </w:pPr>
            <w:proofErr w:type="spellStart"/>
            <w:r>
              <w:rPr>
                <w:rFonts w:hint="eastAsia"/>
                <w:sz w:val="22"/>
                <w:szCs w:val="22"/>
              </w:rPr>
              <w:t>EnMS</w:t>
            </w:r>
            <w:proofErr w:type="spellEnd"/>
          </w:p>
        </w:tc>
        <w:tc>
          <w:tcPr>
            <w:tcW w:w="4325" w:type="dxa"/>
            <w:gridSpan w:val="4"/>
          </w:tcPr>
          <w:p w:rsidR="00E604D8" w:rsidRDefault="00B5484E">
            <w:pPr>
              <w:snapToGrid w:val="0"/>
              <w:spacing w:line="0" w:lineRule="atLeast"/>
              <w:jc w:val="left"/>
              <w:rPr>
                <w:sz w:val="22"/>
                <w:szCs w:val="22"/>
              </w:rPr>
            </w:pPr>
          </w:p>
        </w:tc>
      </w:tr>
      <w:tr w:rsidR="00F37490" w:rsidTr="003C1736">
        <w:trPr>
          <w:trHeight w:val="459"/>
        </w:trPr>
        <w:tc>
          <w:tcPr>
            <w:tcW w:w="1576" w:type="dxa"/>
            <w:vMerge w:val="restart"/>
          </w:tcPr>
          <w:p w:rsidR="00E604D8" w:rsidRDefault="00B84B8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2643" w:type="dxa"/>
            <w:vMerge w:val="restart"/>
          </w:tcPr>
          <w:p w:rsidR="00E604D8" w:rsidRDefault="003C1736">
            <w:pPr>
              <w:snapToGrid w:val="0"/>
              <w:spacing w:line="0" w:lineRule="atLeast"/>
              <w:jc w:val="left"/>
              <w:rPr>
                <w:sz w:val="22"/>
                <w:szCs w:val="22"/>
              </w:rPr>
            </w:pPr>
            <w:proofErr w:type="spellStart"/>
            <w:r w:rsidRPr="003C1736">
              <w:rPr>
                <w:rFonts w:cs="Arial"/>
                <w:b/>
                <w:bCs/>
                <w:sz w:val="22"/>
                <w:szCs w:val="16"/>
              </w:rPr>
              <w:t>Wanxing</w:t>
            </w:r>
            <w:proofErr w:type="spellEnd"/>
            <w:r w:rsidRPr="003C1736">
              <w:rPr>
                <w:rFonts w:cs="Arial"/>
                <w:b/>
                <w:bCs/>
                <w:sz w:val="22"/>
                <w:szCs w:val="16"/>
              </w:rPr>
              <w:t xml:space="preserve"> Energy, west of </w:t>
            </w:r>
            <w:proofErr w:type="spellStart"/>
            <w:r w:rsidRPr="003C1736">
              <w:rPr>
                <w:rFonts w:cs="Arial"/>
                <w:b/>
                <w:bCs/>
                <w:sz w:val="22"/>
                <w:szCs w:val="16"/>
              </w:rPr>
              <w:t>Fenghuang</w:t>
            </w:r>
            <w:proofErr w:type="spellEnd"/>
            <w:r w:rsidRPr="003C1736">
              <w:rPr>
                <w:rFonts w:cs="Arial"/>
                <w:b/>
                <w:bCs/>
                <w:sz w:val="22"/>
                <w:szCs w:val="16"/>
              </w:rPr>
              <w:t xml:space="preserve"> Road, </w:t>
            </w:r>
            <w:proofErr w:type="spellStart"/>
            <w:r w:rsidRPr="003C1736">
              <w:rPr>
                <w:rFonts w:cs="Arial"/>
                <w:b/>
                <w:bCs/>
                <w:sz w:val="22"/>
                <w:szCs w:val="16"/>
              </w:rPr>
              <w:t>Juancheng</w:t>
            </w:r>
            <w:proofErr w:type="spellEnd"/>
            <w:r w:rsidRPr="003C1736">
              <w:rPr>
                <w:rFonts w:cs="Arial"/>
                <w:b/>
                <w:bCs/>
                <w:sz w:val="22"/>
                <w:szCs w:val="16"/>
              </w:rPr>
              <w:t xml:space="preserve"> County, </w:t>
            </w:r>
            <w:proofErr w:type="spellStart"/>
            <w:r w:rsidRPr="003C1736">
              <w:rPr>
                <w:rFonts w:cs="Arial"/>
                <w:b/>
                <w:bCs/>
                <w:sz w:val="22"/>
                <w:szCs w:val="16"/>
              </w:rPr>
              <w:t>Heze</w:t>
            </w:r>
            <w:proofErr w:type="spellEnd"/>
            <w:r w:rsidRPr="003C1736">
              <w:rPr>
                <w:rFonts w:cs="Arial"/>
                <w:b/>
                <w:bCs/>
                <w:sz w:val="22"/>
                <w:szCs w:val="16"/>
              </w:rPr>
              <w:t xml:space="preserve"> City, Shandong Province, is adjacent to the north.</w:t>
            </w:r>
          </w:p>
        </w:tc>
        <w:tc>
          <w:tcPr>
            <w:tcW w:w="1418" w:type="dxa"/>
            <w:gridSpan w:val="3"/>
          </w:tcPr>
          <w:p w:rsidR="00E604D8" w:rsidRDefault="00B84B84">
            <w:pPr>
              <w:snapToGrid w:val="0"/>
              <w:spacing w:line="0" w:lineRule="atLeast"/>
              <w:jc w:val="left"/>
              <w:rPr>
                <w:sz w:val="22"/>
                <w:szCs w:val="22"/>
              </w:rPr>
            </w:pPr>
            <w:r>
              <w:rPr>
                <w:rFonts w:hint="eastAsia"/>
                <w:sz w:val="22"/>
                <w:szCs w:val="22"/>
              </w:rPr>
              <w:t>FSMS</w:t>
            </w:r>
          </w:p>
        </w:tc>
        <w:tc>
          <w:tcPr>
            <w:tcW w:w="4325" w:type="dxa"/>
            <w:gridSpan w:val="4"/>
          </w:tcPr>
          <w:p w:rsidR="00E604D8" w:rsidRDefault="00B5484E">
            <w:pPr>
              <w:snapToGrid w:val="0"/>
              <w:spacing w:line="0" w:lineRule="atLeast"/>
              <w:jc w:val="left"/>
              <w:rPr>
                <w:sz w:val="22"/>
                <w:szCs w:val="22"/>
              </w:rPr>
            </w:pPr>
          </w:p>
        </w:tc>
      </w:tr>
      <w:tr w:rsidR="00F37490" w:rsidTr="003C1736">
        <w:trPr>
          <w:trHeight w:val="374"/>
        </w:trPr>
        <w:tc>
          <w:tcPr>
            <w:tcW w:w="1576" w:type="dxa"/>
            <w:vMerge/>
          </w:tcPr>
          <w:p w:rsidR="00E604D8" w:rsidRDefault="00B5484E">
            <w:pPr>
              <w:snapToGrid w:val="0"/>
              <w:spacing w:line="0" w:lineRule="atLeast"/>
              <w:jc w:val="left"/>
              <w:rPr>
                <w:rFonts w:cs="Arial"/>
                <w:b/>
                <w:bCs/>
                <w:sz w:val="22"/>
                <w:szCs w:val="16"/>
              </w:rPr>
            </w:pPr>
          </w:p>
        </w:tc>
        <w:tc>
          <w:tcPr>
            <w:tcW w:w="2643" w:type="dxa"/>
            <w:vMerge/>
          </w:tcPr>
          <w:p w:rsidR="00E604D8" w:rsidRDefault="00B5484E">
            <w:pPr>
              <w:snapToGrid w:val="0"/>
              <w:spacing w:line="0" w:lineRule="atLeast"/>
              <w:jc w:val="left"/>
              <w:rPr>
                <w:rFonts w:cs="Arial"/>
                <w:b/>
                <w:bCs/>
                <w:sz w:val="22"/>
                <w:szCs w:val="16"/>
              </w:rPr>
            </w:pPr>
          </w:p>
        </w:tc>
        <w:tc>
          <w:tcPr>
            <w:tcW w:w="1418" w:type="dxa"/>
            <w:gridSpan w:val="3"/>
          </w:tcPr>
          <w:p w:rsidR="00E604D8" w:rsidRDefault="00B84B84">
            <w:pPr>
              <w:snapToGrid w:val="0"/>
              <w:spacing w:line="0" w:lineRule="atLeast"/>
              <w:jc w:val="left"/>
              <w:rPr>
                <w:sz w:val="22"/>
                <w:szCs w:val="22"/>
              </w:rPr>
            </w:pPr>
            <w:r>
              <w:rPr>
                <w:rFonts w:hint="eastAsia"/>
                <w:sz w:val="22"/>
                <w:szCs w:val="22"/>
              </w:rPr>
              <w:t>HACCP</w:t>
            </w:r>
          </w:p>
        </w:tc>
        <w:tc>
          <w:tcPr>
            <w:tcW w:w="4325" w:type="dxa"/>
            <w:gridSpan w:val="4"/>
          </w:tcPr>
          <w:p w:rsidR="00E604D8" w:rsidRDefault="00B5484E">
            <w:pPr>
              <w:snapToGrid w:val="0"/>
              <w:spacing w:line="0" w:lineRule="atLeast"/>
              <w:jc w:val="left"/>
              <w:rPr>
                <w:sz w:val="22"/>
                <w:szCs w:val="22"/>
              </w:rPr>
            </w:pPr>
          </w:p>
        </w:tc>
      </w:tr>
      <w:tr w:rsidR="00F37490">
        <w:trPr>
          <w:trHeight w:val="90"/>
        </w:trPr>
        <w:tc>
          <w:tcPr>
            <w:tcW w:w="9962" w:type="dxa"/>
            <w:gridSpan w:val="9"/>
          </w:tcPr>
          <w:p w:rsidR="00E604D8" w:rsidRDefault="00B84B8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37490">
        <w:tc>
          <w:tcPr>
            <w:tcW w:w="9962" w:type="dxa"/>
            <w:gridSpan w:val="9"/>
          </w:tcPr>
          <w:p w:rsidR="00E604D8" w:rsidRDefault="00B84B8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F37490" w:rsidTr="003C1736">
        <w:trPr>
          <w:trHeight w:val="862"/>
        </w:trPr>
        <w:tc>
          <w:tcPr>
            <w:tcW w:w="1576" w:type="dxa"/>
          </w:tcPr>
          <w:p w:rsidR="00E604D8" w:rsidRDefault="00B84B84">
            <w:pPr>
              <w:snapToGrid w:val="0"/>
              <w:spacing w:line="0" w:lineRule="atLeast"/>
              <w:jc w:val="left"/>
              <w:rPr>
                <w:rFonts w:cs="Arial"/>
                <w:b/>
                <w:bCs/>
                <w:sz w:val="22"/>
                <w:szCs w:val="16"/>
              </w:rPr>
            </w:pPr>
            <w:r>
              <w:rPr>
                <w:rFonts w:cs="Arial" w:hint="eastAsia"/>
                <w:b/>
                <w:bCs/>
                <w:sz w:val="22"/>
                <w:szCs w:val="16"/>
              </w:rPr>
              <w:t>受审核方签章</w:t>
            </w:r>
          </w:p>
        </w:tc>
        <w:tc>
          <w:tcPr>
            <w:tcW w:w="3919" w:type="dxa"/>
            <w:gridSpan w:val="3"/>
          </w:tcPr>
          <w:p w:rsidR="00E604D8" w:rsidRDefault="00B5484E">
            <w:pPr>
              <w:snapToGrid w:val="0"/>
              <w:spacing w:line="0" w:lineRule="atLeast"/>
              <w:jc w:val="left"/>
              <w:rPr>
                <w:rFonts w:cs="Arial"/>
                <w:b/>
                <w:bCs/>
                <w:sz w:val="22"/>
                <w:szCs w:val="16"/>
              </w:rPr>
            </w:pPr>
          </w:p>
          <w:p w:rsidR="00E604D8" w:rsidRDefault="00B5484E">
            <w:pPr>
              <w:snapToGrid w:val="0"/>
              <w:spacing w:line="0" w:lineRule="atLeast"/>
              <w:jc w:val="left"/>
              <w:rPr>
                <w:rFonts w:cs="Arial"/>
                <w:b/>
                <w:bCs/>
                <w:sz w:val="22"/>
                <w:szCs w:val="16"/>
              </w:rPr>
            </w:pPr>
          </w:p>
          <w:p w:rsidR="00E604D8" w:rsidRDefault="00B5484E">
            <w:pPr>
              <w:snapToGrid w:val="0"/>
              <w:spacing w:line="0" w:lineRule="atLeast"/>
              <w:jc w:val="left"/>
              <w:rPr>
                <w:rFonts w:cs="Arial"/>
                <w:b/>
                <w:bCs/>
                <w:sz w:val="22"/>
                <w:szCs w:val="16"/>
              </w:rPr>
            </w:pPr>
          </w:p>
          <w:p w:rsidR="00E604D8" w:rsidRDefault="00B5484E">
            <w:pPr>
              <w:snapToGrid w:val="0"/>
              <w:spacing w:line="0" w:lineRule="atLeast"/>
              <w:jc w:val="left"/>
              <w:rPr>
                <w:rFonts w:cs="Arial"/>
                <w:b/>
                <w:bCs/>
                <w:sz w:val="22"/>
                <w:szCs w:val="16"/>
              </w:rPr>
            </w:pPr>
          </w:p>
        </w:tc>
        <w:tc>
          <w:tcPr>
            <w:tcW w:w="1701" w:type="dxa"/>
            <w:gridSpan w:val="3"/>
          </w:tcPr>
          <w:p w:rsidR="00E604D8" w:rsidRDefault="00B84B84">
            <w:pPr>
              <w:snapToGrid w:val="0"/>
              <w:spacing w:line="0" w:lineRule="atLeast"/>
              <w:jc w:val="left"/>
              <w:rPr>
                <w:sz w:val="22"/>
                <w:szCs w:val="22"/>
              </w:rPr>
            </w:pPr>
            <w:r>
              <w:rPr>
                <w:rFonts w:hint="eastAsia"/>
                <w:sz w:val="22"/>
                <w:szCs w:val="18"/>
              </w:rPr>
              <w:t>审核组长签字</w:t>
            </w:r>
          </w:p>
        </w:tc>
        <w:tc>
          <w:tcPr>
            <w:tcW w:w="2766" w:type="dxa"/>
            <w:gridSpan w:val="2"/>
          </w:tcPr>
          <w:p w:rsidR="00E604D8" w:rsidRDefault="00B5484E">
            <w:pPr>
              <w:snapToGrid w:val="0"/>
              <w:spacing w:line="0" w:lineRule="atLeast"/>
              <w:jc w:val="left"/>
              <w:rPr>
                <w:sz w:val="22"/>
                <w:szCs w:val="22"/>
              </w:rPr>
            </w:pPr>
          </w:p>
        </w:tc>
      </w:tr>
    </w:tbl>
    <w:p w:rsidR="00E604D8" w:rsidRDefault="00B5484E">
      <w:pPr>
        <w:snapToGrid w:val="0"/>
        <w:spacing w:line="0" w:lineRule="atLeast"/>
        <w:jc w:val="center"/>
        <w:rPr>
          <w:szCs w:val="24"/>
        </w:rPr>
      </w:pPr>
    </w:p>
    <w:p w:rsidR="003C1736" w:rsidRDefault="003C1736">
      <w:pPr>
        <w:pStyle w:val="a3"/>
        <w:spacing w:line="0" w:lineRule="atLeast"/>
        <w:ind w:firstLine="0"/>
        <w:rPr>
          <w:b/>
          <w:color w:val="000000" w:themeColor="text1"/>
          <w:sz w:val="18"/>
          <w:szCs w:val="18"/>
          <w:lang w:val="en-GB"/>
        </w:rPr>
      </w:pPr>
    </w:p>
    <w:sectPr w:rsidR="003C1736"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4E" w:rsidRDefault="00B5484E">
      <w:r>
        <w:separator/>
      </w:r>
    </w:p>
  </w:endnote>
  <w:endnote w:type="continuationSeparator" w:id="0">
    <w:p w:rsidR="00B5484E" w:rsidRDefault="00B5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4E" w:rsidRDefault="00B5484E">
      <w:r>
        <w:separator/>
      </w:r>
    </w:p>
  </w:footnote>
  <w:footnote w:type="continuationSeparator" w:id="0">
    <w:p w:rsidR="00B5484E" w:rsidRDefault="00B54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B84B84" w:rsidP="003C173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5484E">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B84B84">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B84B84" w:rsidP="003C1736">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490"/>
    <w:rsid w:val="003C1736"/>
    <w:rsid w:val="00B5484E"/>
    <w:rsid w:val="00B84B84"/>
    <w:rsid w:val="00CE47E4"/>
    <w:rsid w:val="00F374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489</Words>
  <Characters>2789</Characters>
  <Application>Microsoft Office Word</Application>
  <DocSecurity>0</DocSecurity>
  <Lines>23</Lines>
  <Paragraphs>6</Paragraphs>
  <ScaleCrop>false</ScaleCrop>
  <Company>微软中国</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2022-07-31T09:22:00Z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