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32"/>
          <w:szCs w:val="32"/>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b/>
          <w:bCs/>
          <w:sz w:val="32"/>
          <w:szCs w:val="32"/>
          <w:u w:val="single"/>
        </w:rPr>
        <w:t>安徽皖水水务发展有限公司</w:t>
      </w:r>
      <w:bookmarkEnd w:id="1"/>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0071-2018-2022</w:t>
      </w:r>
      <w:bookmarkEnd w:id="2"/>
      <w:r>
        <w:rPr>
          <w:rFonts w:hint="eastAsia" w:ascii="宋体" w:hAnsi="宋体"/>
          <w:sz w:val="32"/>
          <w:u w:val="single"/>
          <w:lang w:val="en-US" w:eastAsia="zh-CN"/>
        </w:rPr>
        <w:t xml:space="preserve">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b/>
          <w:bCs/>
          <w:sz w:val="32"/>
          <w:u w:val="single"/>
        </w:rPr>
        <w:t>年度监督审核</w:t>
      </w:r>
      <w:r>
        <w:rPr>
          <w:rFonts w:hint="eastAsia" w:ascii="宋体" w:hAnsi="宋体"/>
          <w:b/>
          <w:bCs/>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0071-2018-2022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安徽皖水水务发展有限公司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5" w:name="联系人"/>
            <w:r>
              <w:rPr>
                <w:rFonts w:cs="宋体" w:asciiTheme="minorEastAsia" w:hAnsiTheme="minorEastAsia"/>
                <w:kern w:val="0"/>
                <w:szCs w:val="21"/>
              </w:rPr>
              <w:t>吴</w:t>
            </w:r>
            <w:bookmarkEnd w:id="5"/>
            <w:r>
              <w:rPr>
                <w:rFonts w:hint="eastAsia" w:cs="宋体" w:asciiTheme="minorEastAsia" w:hAnsiTheme="minorEastAsia"/>
                <w:kern w:val="0"/>
                <w:szCs w:val="21"/>
                <w:lang w:val="en-US" w:eastAsia="zh-CN"/>
              </w:rPr>
              <w:t>则忠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ISC-2018-0279</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2023-07-19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四</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2022年07月19日 上午</w:t>
            </w:r>
            <w:bookmarkEnd w:id="9"/>
            <w:r>
              <w:rPr>
                <w:rFonts w:hint="eastAsia" w:cs="宋体" w:asciiTheme="minorEastAsia" w:hAnsiTheme="minorEastAsia"/>
                <w:kern w:val="0"/>
                <w:szCs w:val="21"/>
                <w:lang w:val="en-US" w:eastAsia="zh-CN"/>
              </w:rPr>
              <w:t>至07月20日下午。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ascii="宋体" w:hAnsi="宋体"/>
                <w:color w:val="000000"/>
                <w:szCs w:val="21"/>
              </w:rPr>
            </w:pPr>
            <w:r>
              <w:rPr>
                <w:rFonts w:ascii="宋体" w:hAnsi="宋体"/>
                <w:szCs w:val="21"/>
              </w:rPr>
              <w:t>黄金荣</w:t>
            </w:r>
            <w:r>
              <w:rPr>
                <w:rFonts w:hint="eastAsia" w:ascii="宋体" w:hAnsi="宋体"/>
                <w:szCs w:val="21"/>
                <w:lang w:eastAsia="zh-CN"/>
              </w:rPr>
              <w:t>，</w:t>
            </w:r>
            <w:r>
              <w:rPr>
                <w:rFonts w:ascii="宋体" w:hAnsi="宋体"/>
                <w:color w:val="000000"/>
                <w:szCs w:val="21"/>
                <w:shd w:val="clear" w:color="auto" w:fill="auto"/>
              </w:rPr>
              <w:t>2018-M1MMS-1227641</w:t>
            </w:r>
            <w:r>
              <w:rPr>
                <w:rFonts w:hint="eastAsia" w:ascii="宋体" w:hAnsi="宋体"/>
                <w:color w:val="000000"/>
                <w:szCs w:val="21"/>
                <w:shd w:val="clear" w:color="auto" w:fill="auto"/>
                <w:lang w:eastAsia="zh-CN"/>
              </w:rPr>
              <w:t>，</w:t>
            </w:r>
            <w:r>
              <w:rPr>
                <w:rFonts w:hint="eastAsia" w:ascii="宋体" w:hAnsi="宋体"/>
                <w:color w:val="000000"/>
                <w:szCs w:val="21"/>
              </w:rPr>
              <w:t>ISC[S]0062</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rPr>
                <w:rFonts w:hint="default" w:ascii="宋体" w:hAnsi="宋体"/>
                <w:color w:val="FF0000"/>
                <w:szCs w:val="21"/>
                <w:lang w:val="en-US" w:eastAsia="zh-CN"/>
              </w:rPr>
            </w:pPr>
            <w:r>
              <w:rPr>
                <w:rFonts w:hint="eastAsia" w:ascii="宋体" w:hAnsi="宋体"/>
                <w:color w:val="auto"/>
                <w:szCs w:val="21"/>
                <w:lang w:val="en-US" w:eastAsia="zh-CN"/>
              </w:rPr>
              <w:t>管理层/管理者代表、质检部、</w:t>
            </w:r>
            <w:r>
              <w:rPr>
                <w:rFonts w:hint="eastAsia" w:eastAsia="新宋体"/>
                <w:color w:val="auto"/>
                <w:szCs w:val="21"/>
                <w:lang w:val="en-US" w:eastAsia="zh-CN"/>
              </w:rPr>
              <w:t>采购部、销售部、生产部（生产车间）</w:t>
            </w:r>
          </w:p>
          <w:p>
            <w:pPr>
              <w:tabs>
                <w:tab w:val="left" w:pos="880"/>
              </w:tabs>
              <w:autoSpaceDE w:val="0"/>
              <w:autoSpaceDN w:val="0"/>
              <w:adjustRightInd w:val="0"/>
              <w:spacing w:before="35" w:line="360" w:lineRule="auto"/>
              <w:ind w:right="161"/>
              <w:rPr>
                <w:rFonts w:cs="宋体" w:asciiTheme="minorEastAsia" w:hAnsiTheme="minorEastAsia"/>
                <w:kern w:val="0"/>
                <w:szCs w:val="21"/>
              </w:rPr>
            </w:pPr>
          </w:p>
        </w:tc>
      </w:tr>
    </w:tbl>
    <w:p>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Fonts w:hint="eastAsia" w:cs="宋体" w:asciiTheme="minorEastAsia" w:hAnsiTheme="minorEastAsia"/>
          <w:bCs/>
          <w:kern w:val="0"/>
          <w:szCs w:val="21"/>
        </w:rPr>
      </w:pP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numPr>
          <w:numId w:val="0"/>
        </w:numPr>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1.一年内违反法律法规或重大事故的情况：一年来，公司日常运行中生产、经营、安全、及管理方面比去年都有很大提升，企业制定了多项生产管理文件、制度，测量管理体系理念更加深入人心，企业未有违反法律、法规问题和产品质量问题的投诉或重大质量事故发生。</w:t>
      </w:r>
    </w:p>
    <w:p>
      <w:pPr>
        <w:spacing w:line="360" w:lineRule="auto"/>
        <w:rPr>
          <w:rFonts w:hint="eastAsia" w:asciiTheme="majorEastAsia" w:hAnsiTheme="majorEastAsia" w:eastAsiaTheme="majorEastAsia" w:cstheme="majorEastAsia"/>
          <w:color w:val="auto"/>
          <w:sz w:val="24"/>
          <w:szCs w:val="24"/>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2.内部审核和管理评审的情况：</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C00000"/>
          <w:kern w:val="0"/>
          <w:sz w:val="24"/>
          <w:szCs w:val="24"/>
          <w:lang w:val="en-US" w:eastAsia="zh-CN"/>
        </w:rPr>
      </w:pPr>
      <w:r>
        <w:rPr>
          <w:rFonts w:hint="eastAsia" w:ascii="宋体" w:hAnsi="宋体" w:eastAsia="宋体" w:cs="宋体"/>
          <w:bCs/>
          <w:color w:val="auto"/>
          <w:kern w:val="0"/>
          <w:sz w:val="24"/>
          <w:szCs w:val="24"/>
          <w:lang w:val="en-US" w:eastAsia="zh-CN"/>
        </w:rPr>
        <w:t>2.1公司于2022年6月9日组织了公司测量管理体系内审，内审分1个组，对公司7个部门和并车间进行了审核，共发现1个不符合项，不符合项已整改完成。</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2.2企业于2022年7月14日开展了单体系管理评审，会议由公司总经理张朝臣主持，由质检部汇报了体系运行情况。其他部门汇报了本部门分管的测量体系相关工作。会议肯定了公司测量管理体系的充分性、有效性和适宜性。形成了管理评审报告。</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为持续改进而策划的活动的进展，企业对识别的关键测量过程进行了持续的控制，企业长度尺寸测量过程为关键测量过程，测量过程识别、测量设备配备、检定/校准、验证，测量过程有效性确认，测量不确定度评定、测量过程控制和监视满足要求。企业没有新增关键测量过程。</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a)计量要求的导出和验证：查长度尺寸测量过程，计量要求导出方法正确，验证满足测量过程要求。祥见附件《计量要求导出及验证记录表》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b)测量不确定评定：查长度尺寸测量过程，测量不确定度评定方法正确。祥见附件《测量不确定度评定》</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c)有效性确认：查长度尺寸测量过程有效性确认，满足要求。祥见附件《测量过程有效性确认》</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d)测量过程的控制：查长度尺寸测量过程，编制了控制规范，对测量人员、测量设备、测量环境进行控制，满足要求。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e)测量过程的监视：查长度尺寸测量过程，采用统计技术进行控制和监视测量过程。祥见《测量过程监视记录》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f)测量设备的溯源：公司未建最高计量标准，企业测量设备由质检部负责组织委外检定/校准。公司测量设备委托安徽省计量科学研究院校准/校准，抽查6台测量设备校准证书，溯源满足要求。祥见《测量设备溯源检查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4.能源管理情况：企业消耗能源主要有：水、电力 ，2022年1月-2022年6月消耗电量39104千瓦时，水147吨，企业不是重点能耗单位。</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5.对认证审核时提出的的不符合项的纠正措施情况：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5.1 去年监督审核未发现不符合项。</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C00000"/>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6.对投诉的处理情况：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公司目前尚未接到客户在产品质量、物料交接、能源、安全、现场管理等方面的投诉和纠纷。</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C00000"/>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7.测量管理体系在实现获证客户目标方面的有效性及持续的运作控制情况：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企业根据测量体系质量方针，制定了7项质量目标，目标可测量。质量目标已分解到各部门，查:2022年1至2季度质量目标全部完成。企业测量体系进一步满足顾客、质量、服务等方面的要求，符合GB/T 19022-2003标准要求。使其更具有动态性和适宜性、有效性及对持续运作的控制。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8.对企业组织任何变更的审核</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C00000"/>
          <w:kern w:val="0"/>
          <w:sz w:val="24"/>
          <w:szCs w:val="24"/>
          <w:lang w:val="en-US" w:eastAsia="zh-CN"/>
        </w:rPr>
      </w:pPr>
      <w:bookmarkStart w:id="11" w:name="_GoBack"/>
      <w:bookmarkEnd w:id="11"/>
      <w:r>
        <w:rPr>
          <w:rFonts w:hint="eastAsia" w:ascii="宋体" w:hAnsi="宋体" w:eastAsia="宋体" w:cs="宋体"/>
          <w:bCs/>
          <w:color w:val="auto"/>
          <w:kern w:val="0"/>
          <w:sz w:val="24"/>
          <w:szCs w:val="24"/>
          <w:lang w:val="en-US" w:eastAsia="zh-CN"/>
        </w:rPr>
        <w:t>企业组织机构没有变更。</w:t>
      </w:r>
    </w:p>
    <w:p>
      <w:pPr>
        <w:widowControl/>
        <w:spacing w:line="360" w:lineRule="auto"/>
        <w:ind w:firstLine="480" w:firstLineChars="200"/>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企业营业执照已发生变更，注册地址由安徽省合肥经开区桃花工业园汤口路39号变更为安徽省合肥市肥东县粱园镇产业新城兴业大道7号。经营地址仍在安徽省合肥经开区桃花工业园汤口路39号</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9.标志的使用和（或）任何其他对认证资格引用的情况：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公司对标志的使用，符合相关标准和规定。公司测量管理体系认证证书用于：招投标和企业形象宣传。</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numPr>
          <w:ilvl w:val="0"/>
          <w:numId w:val="2"/>
        </w:numPr>
        <w:spacing w:line="440" w:lineRule="exact"/>
        <w:ind w:right="-27" w:rightChars="-13"/>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本次审核未发现一般不符合项 ，未发现严重或系统性的不符合情况。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11.产品的销售：抽查滨河印象生活泵房二次供水深化项目合同，合同编号：czqt202112-008。签订时间2022年1月11日。经确认企业对应的产品生产过程涉及有对应的测量过程和测量设备，测量设备的配备满足该合同的产品生产和检验要求。</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三、监督审核结论意见(含需要说明的事项):</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通过2022年7月19日上午至7月20日下午，对安徽皖水水务发展有限公司监督审核.验证了公司在去年一年内，测量管理体系运作情况，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安徽皖水水务发展有限公司测量管理体系，符合GB/T 19022-2003标准要求，对体系运行具有持续的有效性、符合性予以肯定。建议报请国标联合认证有限公司批准通过监督审核。</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widowControl/>
        <w:spacing w:line="360" w:lineRule="auto"/>
        <w:rPr>
          <w:rFonts w:cs="宋体" w:asciiTheme="minorEastAsia" w:hAnsiTheme="minorEastAsia"/>
          <w:kern w:val="0"/>
          <w:szCs w:val="21"/>
        </w:rPr>
      </w:pPr>
      <w:r>
        <w:rPr>
          <w:rFonts w:hint="eastAsia" w:ascii="宋体" w:hAnsi="宋体" w:eastAsia="宋体" w:cs="宋体"/>
          <w:bCs/>
          <w:color w:val="auto"/>
          <w:kern w:val="0"/>
          <w:sz w:val="24"/>
          <w:szCs w:val="24"/>
          <w:lang w:val="en-US" w:eastAsia="zh-CN"/>
        </w:rPr>
        <w:drawing>
          <wp:anchor distT="0" distB="0" distL="114300" distR="114300" simplePos="0" relativeHeight="251662336" behindDoc="0" locked="0" layoutInCell="1" allowOverlap="1">
            <wp:simplePos x="0" y="0"/>
            <wp:positionH relativeFrom="column">
              <wp:posOffset>1520825</wp:posOffset>
            </wp:positionH>
            <wp:positionV relativeFrom="paragraph">
              <wp:posOffset>269240</wp:posOffset>
            </wp:positionV>
            <wp:extent cx="614680" cy="385445"/>
            <wp:effectExtent l="0" t="0" r="0" b="5080"/>
            <wp:wrapNone/>
            <wp:docPr id="2"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r>
        <w:rPr>
          <w:rFonts w:hint="eastAsia" w:ascii="宋体" w:hAnsi="宋体" w:eastAsia="宋体" w:cs="宋体"/>
          <w:bCs/>
          <w:color w:val="auto"/>
          <w:kern w:val="0"/>
          <w:sz w:val="24"/>
          <w:szCs w:val="24"/>
          <w:lang w:val="en-US" w:eastAsia="zh-CN"/>
        </w:rPr>
        <w:t xml:space="preserve">                                 </w:t>
      </w:r>
    </w:p>
    <w:p>
      <w:pPr>
        <w:widowControl/>
        <w:spacing w:line="360" w:lineRule="auto"/>
        <w:jc w:val="left"/>
        <w:rPr>
          <w:rFonts w:ascii="宋体" w:hAnsi="宋体" w:eastAsia="宋体" w:cs="宋体"/>
          <w:kern w:val="0"/>
          <w:szCs w:val="21"/>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2022年7月20日</w:t>
      </w:r>
    </w:p>
    <w:p>
      <w:pPr>
        <w:widowControl/>
        <w:spacing w:line="360" w:lineRule="auto"/>
        <w:jc w:val="left"/>
        <w:rPr>
          <w:rFonts w:ascii="宋体" w:hAnsi="宋体" w:eastAsia="宋体" w:cs="宋体"/>
          <w:color w:val="000000"/>
          <w:kern w:val="0"/>
          <w:szCs w:val="21"/>
        </w:rPr>
      </w:pPr>
    </w:p>
    <w:p>
      <w:pPr>
        <w:widowControl/>
        <w:spacing w:line="360" w:lineRule="auto"/>
        <w:jc w:val="left"/>
        <w:rPr>
          <w:rFonts w:hint="eastAsia" w:ascii="宋体" w:hAnsi="宋体" w:eastAsia="宋体" w:cs="宋体"/>
          <w:color w:val="000000"/>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C3A7FC"/>
    <w:multiLevelType w:val="singleLevel"/>
    <w:tmpl w:val="A9C3A7FC"/>
    <w:lvl w:ilvl="0" w:tentative="0">
      <w:start w:val="10"/>
      <w:numFmt w:val="decimal"/>
      <w:lvlText w:val="%1."/>
      <w:lvlJc w:val="left"/>
      <w:pPr>
        <w:tabs>
          <w:tab w:val="left" w:pos="312"/>
        </w:tabs>
      </w:pPr>
    </w:lvl>
  </w:abstractNum>
  <w:abstractNum w:abstractNumId="1">
    <w:nsid w:val="5E359085"/>
    <w:multiLevelType w:val="singleLevel"/>
    <w:tmpl w:val="5E35908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E7F053E"/>
    <w:rsid w:val="22D50773"/>
    <w:rsid w:val="25E25F21"/>
    <w:rsid w:val="32C47499"/>
    <w:rsid w:val="34F47761"/>
    <w:rsid w:val="4764417A"/>
    <w:rsid w:val="534A6FEF"/>
    <w:rsid w:val="67264569"/>
    <w:rsid w:val="674C6A36"/>
    <w:rsid w:val="696268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5</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win8</cp:lastModifiedBy>
  <cp:lastPrinted>2017-09-01T06:24:00Z</cp:lastPrinted>
  <dcterms:modified xsi:type="dcterms:W3CDTF">2022-07-20T07:19:52Z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