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0926-2021-Q-2022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四川省射洪星升电子有限责任公司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四川省射洪星升电子有限责任公司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射洪太和镇富强路怡兴花园</w:t>
            </w:r>
            <w:bookmarkEnd w:id="6"/>
          </w:p>
        </w:tc>
        <w:tc>
          <w:tcPr>
            <w:tcW w:w="1242" w:type="dxa"/>
            <w:vMerge w:val="restart"/>
            <w:vAlign w:val="center"/>
          </w:tcPr>
          <w:p>
            <w:r>
              <w:rPr>
                <w:rFonts w:hint="eastAsia"/>
              </w:rPr>
              <w:t>邮编</w:t>
            </w:r>
          </w:p>
        </w:tc>
        <w:tc>
          <w:tcPr>
            <w:tcW w:w="1771" w:type="dxa"/>
          </w:tcPr>
          <w:p>
            <w:bookmarkStart w:id="7" w:name="注册邮编"/>
            <w:r>
              <w:t>629200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射洪太和镇富强路怡兴花园</w:t>
            </w:r>
            <w:bookmarkEnd w:id="8"/>
          </w:p>
        </w:tc>
        <w:tc>
          <w:tcPr>
            <w:tcW w:w="1242" w:type="dxa"/>
            <w:vMerge w:val="continue"/>
            <w:vAlign w:val="center"/>
          </w:tcPr>
          <w:p/>
        </w:tc>
        <w:tc>
          <w:tcPr>
            <w:tcW w:w="1771" w:type="dxa"/>
          </w:tcPr>
          <w:p>
            <w:bookmarkStart w:id="9" w:name="办公邮编"/>
            <w:r>
              <w:t>629200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王高全</w:t>
            </w:r>
            <w:bookmarkEnd w:id="10"/>
          </w:p>
        </w:tc>
        <w:tc>
          <w:tcPr>
            <w:tcW w:w="1313" w:type="dxa"/>
            <w:vAlign w:val="center"/>
          </w:tcPr>
          <w:p>
            <w:r>
              <w:rPr>
                <w:rFonts w:hint="eastAsia"/>
              </w:rPr>
              <w:t>电话.</w:t>
            </w:r>
          </w:p>
        </w:tc>
        <w:tc>
          <w:tcPr>
            <w:tcW w:w="2180" w:type="dxa"/>
            <w:vAlign w:val="center"/>
          </w:tcPr>
          <w:p>
            <w:bookmarkStart w:id="11" w:name="联系人电话"/>
            <w:r>
              <w:t>0825-6637080</w:t>
            </w:r>
            <w:bookmarkEnd w:id="11"/>
          </w:p>
        </w:tc>
        <w:tc>
          <w:tcPr>
            <w:tcW w:w="1242" w:type="dxa"/>
            <w:vAlign w:val="center"/>
          </w:tcPr>
          <w:p>
            <w:r>
              <w:rPr>
                <w:rFonts w:hint="eastAsia"/>
              </w:rPr>
              <w:t>传真</w:t>
            </w:r>
          </w:p>
        </w:tc>
        <w:tc>
          <w:tcPr>
            <w:tcW w:w="1771" w:type="dxa"/>
          </w:tcPr>
          <w:p>
            <w:bookmarkStart w:id="12" w:name="联系人传真"/>
            <w:r>
              <w:t>0825-6637080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高乃星</w:t>
            </w:r>
            <w:bookmarkEnd w:id="13"/>
          </w:p>
        </w:tc>
        <w:tc>
          <w:tcPr>
            <w:tcW w:w="1313" w:type="dxa"/>
            <w:vAlign w:val="center"/>
          </w:tcPr>
          <w:p>
            <w:r>
              <w:rPr>
                <w:rFonts w:hint="eastAsia"/>
              </w:rPr>
              <w:t>管理者代表</w:t>
            </w:r>
          </w:p>
        </w:tc>
        <w:tc>
          <w:tcPr>
            <w:tcW w:w="2180" w:type="dxa"/>
          </w:tcPr>
          <w:p>
            <w:bookmarkStart w:id="14" w:name="管理者代表"/>
            <w:r>
              <w:t>王高全</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keepNext w:val="0"/>
              <w:keepLines w:val="0"/>
              <w:pageBreakBefore w:val="0"/>
              <w:kinsoku/>
              <w:wordWrap/>
              <w:overflowPunct/>
              <w:topLinePunct w:val="0"/>
              <w:autoSpaceDE/>
              <w:autoSpaceDN/>
              <w:bidi w:val="0"/>
              <w:spacing w:line="240" w:lineRule="auto"/>
              <w:rPr>
                <w:rFonts w:hint="default" w:ascii="宋体" w:hAnsi="宋体"/>
                <w:sz w:val="21"/>
                <w:szCs w:val="21"/>
                <w:highlight w:val="none"/>
                <w:lang w:val="en-US" w:eastAsia="zh-CN"/>
              </w:rPr>
            </w:pPr>
            <w:r>
              <w:rPr>
                <w:rFonts w:hint="eastAsia" w:ascii="宋体" w:hAnsi="宋体"/>
                <w:sz w:val="21"/>
                <w:szCs w:val="21"/>
                <w:highlight w:val="none"/>
                <w:lang w:val="en-US" w:eastAsia="zh-CN"/>
              </w:rPr>
              <w:t>绕线——穿线——分线——绞线——目检及</w:t>
            </w:r>
            <w:r>
              <w:rPr>
                <w:rFonts w:hint="eastAsia"/>
                <w:highlight w:val="none"/>
                <w:lang w:val="en-US" w:eastAsia="zh-CN"/>
              </w:rPr>
              <w:t>耐压测试</w:t>
            </w:r>
            <w:r>
              <w:rPr>
                <w:rFonts w:hint="eastAsia" w:ascii="宋体" w:hAnsi="宋体"/>
                <w:sz w:val="21"/>
                <w:szCs w:val="21"/>
                <w:highlight w:val="none"/>
                <w:lang w:val="en-US" w:eastAsia="zh-CN"/>
              </w:rPr>
              <w:t>——</w:t>
            </w:r>
            <w:r>
              <w:rPr>
                <w:rFonts w:hint="eastAsia" w:ascii="宋体" w:hAnsi="宋体"/>
                <w:sz w:val="21"/>
                <w:szCs w:val="21"/>
              </w:rPr>
              <w:t>盒子组装</w:t>
            </w:r>
            <w:r>
              <w:rPr>
                <w:rFonts w:hint="eastAsia" w:ascii="宋体" w:hAnsi="宋体"/>
                <w:sz w:val="21"/>
                <w:szCs w:val="21"/>
                <w:highlight w:val="none"/>
                <w:lang w:val="en-US" w:eastAsia="zh-CN"/>
              </w:rPr>
              <w:t>——TBA检查包装</w:t>
            </w:r>
          </w:p>
          <w:p>
            <w:bookmarkStart w:id="34" w:name="_GoBack"/>
            <w:bookmarkEnd w:id="34"/>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w:t>
            </w:r>
            <w:r>
              <w:rPr>
                <w:rFonts w:hint="eastAsia"/>
                <w:lang w:val="en-US" w:eastAsia="zh-CN"/>
              </w:rPr>
              <w:t>8</w:t>
            </w:r>
            <w:r>
              <w:rPr>
                <w:rFonts w:hint="eastAsia"/>
              </w:rPr>
              <w:t>月</w:t>
            </w:r>
            <w:r>
              <w:rPr>
                <w:rFonts w:hint="eastAsia"/>
                <w:lang w:val="en-US" w:eastAsia="zh-CN"/>
              </w:rPr>
              <w:t>01</w:t>
            </w:r>
            <w:r>
              <w:rPr>
                <w:rFonts w:hint="eastAsia"/>
              </w:rPr>
              <w:t>日 上午至2022年0</w:t>
            </w:r>
            <w:r>
              <w:rPr>
                <w:rFonts w:hint="eastAsia"/>
                <w:lang w:val="en-US" w:eastAsia="zh-CN"/>
              </w:rPr>
              <w:t>8</w:t>
            </w:r>
            <w:r>
              <w:rPr>
                <w:rFonts w:hint="eastAsia"/>
              </w:rPr>
              <w:t>月</w:t>
            </w:r>
            <w:r>
              <w:rPr>
                <w:rFonts w:hint="eastAsia"/>
                <w:lang w:val="en-US" w:eastAsia="zh-CN"/>
              </w:rPr>
              <w:t>01</w:t>
            </w:r>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射洪太和镇富强路怡兴花园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电子连接器的加工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36"/>
        <w:gridCol w:w="173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36" w:type="dxa"/>
            <w:shd w:val="clear" w:color="auto" w:fill="F3F3F3"/>
            <w:tcMar>
              <w:left w:w="57" w:type="dxa"/>
              <w:right w:w="57" w:type="dxa"/>
            </w:tcMar>
          </w:tcPr>
          <w:p>
            <w:r>
              <w:rPr>
                <w:rFonts w:hint="eastAsia"/>
              </w:rPr>
              <w:t>审核范围（产品和过程）</w:t>
            </w:r>
          </w:p>
          <w:p/>
          <w:p/>
        </w:tc>
        <w:tc>
          <w:tcPr>
            <w:tcW w:w="173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四川省射洪星升电子有限责任公司</w:t>
            </w:r>
            <w:r>
              <w:rPr>
                <w:rFonts w:hint="eastAsia"/>
                <w:sz w:val="21"/>
                <w:szCs w:val="21"/>
                <w:lang w:val="en-US" w:eastAsia="zh-CN"/>
              </w:rPr>
              <w:t>/</w:t>
            </w:r>
            <w:r>
              <w:rPr>
                <w:rFonts w:asciiTheme="minorEastAsia" w:hAnsiTheme="minorEastAsia" w:eastAsiaTheme="minorEastAsia"/>
                <w:sz w:val="20"/>
              </w:rPr>
              <w:t>射洪太和镇富强路怡兴花园</w:t>
            </w:r>
          </w:p>
        </w:tc>
        <w:tc>
          <w:tcPr>
            <w:tcW w:w="2267" w:type="dxa"/>
          </w:tcPr>
          <w:p>
            <w:pPr>
              <w:rPr>
                <w:lang w:val="de-DE" w:eastAsia="ja-JP"/>
              </w:rPr>
            </w:pPr>
            <w:r>
              <w:rPr>
                <w:rFonts w:asciiTheme="minorEastAsia" w:hAnsiTheme="minorEastAsia" w:eastAsiaTheme="minorEastAsia"/>
                <w:sz w:val="20"/>
              </w:rPr>
              <w:t>射洪太和镇富强路怡兴花园</w:t>
            </w:r>
          </w:p>
        </w:tc>
        <w:tc>
          <w:tcPr>
            <w:tcW w:w="571" w:type="dxa"/>
            <w:vAlign w:val="center"/>
          </w:tcPr>
          <w:p>
            <w:pPr>
              <w:rPr>
                <w:rFonts w:hint="default" w:ascii="Times New Roman" w:hAnsi="Times New Roman" w:eastAsia="宋体" w:cs="Times New Roman"/>
                <w:sz w:val="20"/>
                <w:lang w:val="en-US" w:eastAsia="zh-CN"/>
              </w:rPr>
            </w:pPr>
            <w:r>
              <w:rPr>
                <w:rFonts w:hint="eastAsia" w:ascii="Times New Roman" w:hAnsi="Times New Roman" w:eastAsia="宋体" w:cs="Times New Roman"/>
                <w:sz w:val="20"/>
                <w:lang w:val="en-US" w:eastAsia="zh-CN"/>
              </w:rPr>
              <w:t>23</w:t>
            </w:r>
          </w:p>
        </w:tc>
        <w:tc>
          <w:tcPr>
            <w:tcW w:w="1736" w:type="dxa"/>
            <w:vAlign w:val="center"/>
          </w:tcPr>
          <w:p>
            <w:pPr>
              <w:rPr>
                <w:rFonts w:ascii="Times New Roman" w:hAnsi="Times New Roman" w:eastAsia="宋体" w:cs="Times New Roman"/>
                <w:sz w:val="20"/>
                <w:lang w:eastAsia="ja-JP"/>
              </w:rPr>
            </w:pPr>
            <w:r>
              <w:rPr>
                <w:rFonts w:ascii="Times New Roman" w:hAnsi="Times New Roman" w:eastAsia="宋体" w:cs="Times New Roman"/>
                <w:sz w:val="20"/>
              </w:rPr>
              <w:t>电子连接器的加工</w:t>
            </w:r>
          </w:p>
        </w:tc>
        <w:tc>
          <w:tcPr>
            <w:tcW w:w="1736" w:type="dxa"/>
            <w:vAlign w:val="center"/>
          </w:tcPr>
          <w:p>
            <w:pPr>
              <w:rPr>
                <w:rFonts w:ascii="Times New Roman" w:hAnsi="Times New Roman" w:eastAsia="宋体" w:cs="Times New Roman"/>
                <w:sz w:val="20"/>
                <w:lang w:eastAsia="ja-JP"/>
              </w:rPr>
            </w:pPr>
            <w:r>
              <w:rPr>
                <w:rFonts w:hint="eastAsia" w:ascii="Times New Roman" w:hAnsi="Times New Roman" w:eastAsia="宋体" w:cs="Times New Roman"/>
                <w:sz w:val="20"/>
              </w:rPr>
              <w:t>GB/T19001-2016</w:t>
            </w:r>
          </w:p>
        </w:tc>
        <w:tc>
          <w:tcPr>
            <w:tcW w:w="668" w:type="dxa"/>
            <w:shd w:val="clear" w:color="auto" w:fill="FFFFFF"/>
          </w:tcPr>
          <w:p>
            <w:pPr>
              <w:rPr>
                <w:rFonts w:ascii="Times New Roman" w:hAnsi="Times New Roman" w:eastAsia="宋体" w:cs="Times New Roman"/>
                <w:sz w:val="20"/>
              </w:rPr>
            </w:pPr>
            <w:r>
              <w:rPr>
                <w:rFonts w:hint="eastAsia" w:ascii="Times New Roman" w:hAnsi="Times New Roman" w:eastAsia="宋体" w:cs="Times New Roman"/>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36" w:type="dxa"/>
            <w:vAlign w:val="center"/>
          </w:tcPr>
          <w:p>
            <w:pPr>
              <w:rPr>
                <w:lang w:eastAsia="ja-JP"/>
              </w:rPr>
            </w:pPr>
          </w:p>
        </w:tc>
        <w:tc>
          <w:tcPr>
            <w:tcW w:w="173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36" w:type="dxa"/>
            <w:vAlign w:val="center"/>
          </w:tcPr>
          <w:p>
            <w:pPr>
              <w:rPr>
                <w:lang w:eastAsia="ja-JP"/>
              </w:rPr>
            </w:pPr>
          </w:p>
        </w:tc>
        <w:tc>
          <w:tcPr>
            <w:tcW w:w="173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36" w:type="dxa"/>
            <w:vAlign w:val="center"/>
          </w:tcPr>
          <w:p>
            <w:pPr>
              <w:rPr>
                <w:lang w:eastAsia="ja-JP"/>
              </w:rPr>
            </w:pPr>
          </w:p>
        </w:tc>
        <w:tc>
          <w:tcPr>
            <w:tcW w:w="173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36" w:type="dxa"/>
            <w:vAlign w:val="center"/>
          </w:tcPr>
          <w:p>
            <w:pPr>
              <w:rPr>
                <w:lang w:eastAsia="ja-JP"/>
              </w:rPr>
            </w:pPr>
          </w:p>
        </w:tc>
        <w:tc>
          <w:tcPr>
            <w:tcW w:w="1736"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2022-N1QMS-2242345</w:t>
            </w:r>
          </w:p>
        </w:tc>
        <w:tc>
          <w:tcPr>
            <w:tcW w:w="2179" w:type="dxa"/>
            <w:vAlign w:val="center"/>
          </w:tcPr>
          <w:p>
            <w:r>
              <w:t>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2022年08月01日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highlight w:val="none"/>
                <w:u w:val="single"/>
                <w:lang w:val="en-US" w:eastAsia="zh-CN" w:bidi="ar-SA"/>
              </w:rPr>
              <w:t xml:space="preserve">  </w:t>
            </w:r>
            <w:r>
              <w:rPr>
                <w:rFonts w:hint="eastAsia" w:ascii="宋体" w:hAnsi="宋体" w:cs="宋体"/>
                <w:color w:val="000000"/>
                <w:sz w:val="21"/>
                <w:szCs w:val="21"/>
                <w:highlight w:val="none"/>
                <w:u w:val="single"/>
              </w:rPr>
              <w:t>质量第一、降本增效、精益求精、持续改进</w:t>
            </w:r>
            <w:r>
              <w:rPr>
                <w:rFonts w:hint="eastAsia" w:ascii="Times New Roman" w:hAnsi="Times New Roman" w:eastAsia="宋体" w:cs="Times New Roman"/>
                <w:kern w:val="2"/>
                <w:sz w:val="21"/>
                <w:szCs w:val="24"/>
                <w:highlight w:val="none"/>
                <w:u w:val="single"/>
                <w:lang w:val="en-US" w:eastAsia="zh-CN" w:bidi="ar-SA"/>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1、由市场部人员每个月对收集信息进行评价并整理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eastAsia="宋体"/>
                      <w:highlight w:val="none"/>
                      <w:lang w:val="en-US" w:eastAsia="zh-CN"/>
                    </w:rPr>
                  </w:pPr>
                  <w:r>
                    <w:rPr>
                      <w:rFonts w:hint="eastAsia" w:eastAsia="宋体"/>
                      <w:highlight w:val="none"/>
                      <w:lang w:val="en-US" w:eastAsia="zh-CN"/>
                    </w:rPr>
                    <w:t>一次交验合格率≥95%</w:t>
                  </w:r>
                </w:p>
              </w:tc>
              <w:tc>
                <w:tcPr>
                  <w:tcW w:w="3136" w:type="dxa"/>
                  <w:shd w:val="clear" w:color="auto" w:fill="auto"/>
                  <w:vAlign w:val="center"/>
                </w:tcPr>
                <w:p>
                  <w:pPr>
                    <w:shd w:val="clear" w:color="auto" w:fill="C7DAF1" w:themeFill="text2" w:themeFillTint="32"/>
                    <w:rPr>
                      <w:rFonts w:hint="eastAsia" w:eastAsia="宋体"/>
                      <w:highlight w:val="none"/>
                      <w:lang w:val="en-GB" w:eastAsia="zh-CN"/>
                    </w:rPr>
                  </w:pPr>
                  <w:r>
                    <w:rPr>
                      <w:rFonts w:hint="eastAsia" w:eastAsia="宋体"/>
                      <w:highlight w:val="none"/>
                      <w:lang w:val="en-US" w:eastAsia="zh-CN"/>
                    </w:rPr>
                    <w:t>合格数/总数×100%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生产技术部</w:t>
                  </w:r>
                </w:p>
              </w:tc>
              <w:tc>
                <w:tcPr>
                  <w:tcW w:w="1774" w:type="dxa"/>
                  <w:shd w:val="clear" w:color="auto" w:fill="auto"/>
                  <w:vAlign w:val="top"/>
                </w:tcPr>
                <w:p>
                  <w:pPr>
                    <w:shd w:val="clear" w:color="auto" w:fill="C7DAF1" w:themeFill="text2" w:themeFillTint="32"/>
                    <w:rPr>
                      <w:rFonts w:hint="default" w:eastAsia="宋体"/>
                      <w:highlight w:val="none"/>
                      <w:lang w:val="en-GB" w:eastAsia="zh-CN"/>
                    </w:rPr>
                  </w:pPr>
                  <w:r>
                    <w:rPr>
                      <w:rFonts w:hint="eastAsia" w:eastAsia="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eastAsia="宋体"/>
                      <w:highlight w:val="none"/>
                      <w:lang w:val="en-US" w:eastAsia="zh-CN"/>
                    </w:rPr>
                  </w:pPr>
                  <w:r>
                    <w:rPr>
                      <w:rFonts w:hint="eastAsia" w:eastAsia="宋体"/>
                      <w:highlight w:val="none"/>
                      <w:lang w:val="en-US" w:eastAsia="zh-CN"/>
                    </w:rPr>
                    <w:t>产品出厂合格率≥100%</w:t>
                  </w:r>
                </w:p>
              </w:tc>
              <w:tc>
                <w:tcPr>
                  <w:tcW w:w="3136" w:type="dxa"/>
                  <w:shd w:val="clear" w:color="auto" w:fill="auto"/>
                  <w:vAlign w:val="center"/>
                </w:tcPr>
                <w:p>
                  <w:pPr>
                    <w:shd w:val="clear" w:color="auto" w:fill="C7DAF1" w:themeFill="text2" w:themeFillTint="32"/>
                    <w:rPr>
                      <w:rFonts w:hint="eastAsia" w:eastAsia="宋体"/>
                      <w:highlight w:val="none"/>
                      <w:lang w:val="en-US" w:eastAsia="zh-CN"/>
                    </w:rPr>
                  </w:pPr>
                  <w:r>
                    <w:rPr>
                      <w:rFonts w:hint="eastAsia" w:eastAsia="宋体"/>
                      <w:highlight w:val="none"/>
                      <w:lang w:val="en-US" w:eastAsia="zh-CN"/>
                    </w:rPr>
                    <w:t>产品出厂合格数/总出厂数×100%</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生产技术部</w:t>
                  </w:r>
                </w:p>
              </w:tc>
              <w:tc>
                <w:tcPr>
                  <w:tcW w:w="1774" w:type="dxa"/>
                  <w:shd w:val="clear" w:color="auto" w:fill="auto"/>
                  <w:vAlign w:val="top"/>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顾客满意度95分以上</w:t>
                  </w:r>
                </w:p>
                <w:p>
                  <w:pPr>
                    <w:shd w:val="clear" w:color="auto" w:fill="C7DAF1" w:themeFill="text2" w:themeFillTint="32"/>
                    <w:rPr>
                      <w:rFonts w:hint="eastAsia" w:eastAsia="宋体"/>
                      <w:highlight w:val="none"/>
                      <w:lang w:val="en-US" w:eastAsia="zh-CN"/>
                    </w:rPr>
                  </w:pPr>
                </w:p>
              </w:tc>
              <w:tc>
                <w:tcPr>
                  <w:tcW w:w="3136" w:type="dxa"/>
                  <w:shd w:val="clear" w:color="auto" w:fill="auto"/>
                  <w:vAlign w:val="center"/>
                </w:tcPr>
                <w:p>
                  <w:pPr>
                    <w:shd w:val="clear" w:color="auto" w:fill="C7DAF1" w:themeFill="text2" w:themeFillTint="32"/>
                    <w:rPr>
                      <w:rFonts w:hint="eastAsia" w:eastAsia="宋体"/>
                      <w:highlight w:val="none"/>
                      <w:lang w:val="en-US" w:eastAsia="zh-CN"/>
                    </w:rPr>
                  </w:pPr>
                  <w:r>
                    <w:rPr>
                      <w:rFonts w:hint="eastAsia" w:eastAsia="宋体"/>
                      <w:highlight w:val="none"/>
                      <w:lang w:val="en-US" w:eastAsia="zh-CN"/>
                    </w:rPr>
                    <w:t>顾客满意度=∑n1+n2+n3+……+ni/n</w:t>
                  </w:r>
                </w:p>
              </w:tc>
              <w:tc>
                <w:tcPr>
                  <w:tcW w:w="1350" w:type="dxa"/>
                  <w:shd w:val="clear" w:color="auto" w:fill="auto"/>
                  <w:vAlign w:val="center"/>
                </w:tcPr>
                <w:p>
                  <w:pPr>
                    <w:shd w:val="clear" w:color="auto" w:fill="C7DAF1" w:themeFill="text2" w:themeFillTint="32"/>
                    <w:rPr>
                      <w:rFonts w:hint="eastAsia" w:eastAsia="宋体"/>
                      <w:highlight w:val="none"/>
                      <w:lang w:val="en-US" w:eastAsia="zh-CN"/>
                    </w:rPr>
                  </w:pPr>
                  <w:r>
                    <w:rPr>
                      <w:rFonts w:hint="eastAsia" w:eastAsia="宋体"/>
                      <w:highlight w:val="none"/>
                      <w:lang w:val="en-US" w:eastAsia="zh-CN"/>
                    </w:rPr>
                    <w:t>市场部</w:t>
                  </w:r>
                </w:p>
              </w:tc>
              <w:tc>
                <w:tcPr>
                  <w:tcW w:w="1774" w:type="dxa"/>
                  <w:shd w:val="clear" w:color="auto" w:fill="auto"/>
                  <w:vAlign w:val="top"/>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w:t>
            </w:r>
            <w:r>
              <w:rPr>
                <w:rFonts w:hint="eastAsia"/>
                <w:highlight w:val="none"/>
              </w:rPr>
              <w:t>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600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none"/>
              </w:rPr>
              <w:t xml:space="preserve"> </w:t>
            </w:r>
            <w:r>
              <w:rPr>
                <w:rFonts w:hint="eastAsia"/>
                <w:sz w:val="21"/>
                <w:szCs w:val="21"/>
                <w:highlight w:val="none"/>
                <w:u w:val="none"/>
              </w:rPr>
              <w:t>绕线机、流水线、工作台、空调、耐压测试仪等</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A3"/>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52"/>
            </w:r>
            <w:r>
              <w:rPr>
                <w:rFonts w:hint="eastAsia"/>
                <w:highlight w:val="none"/>
              </w:rPr>
              <w:t xml:space="preserve">不适用  </w:t>
            </w:r>
          </w:p>
          <w:p>
            <w:pPr>
              <w:shd w:val="clear" w:color="auto" w:fill="C7DAF1" w:themeFill="text2" w:themeFillTint="32"/>
              <w:rPr>
                <w:u w:val="single"/>
              </w:rPr>
            </w:pPr>
            <w:r>
              <w:rPr>
                <w:rFonts w:hint="eastAsia"/>
                <w:highlight w:val="none"/>
              </w:rPr>
              <w:t>特种设备管理：</w:t>
            </w:r>
            <w:r>
              <w:rPr>
                <w:rFonts w:hint="eastAsia"/>
                <w:highlight w:val="none"/>
              </w:rPr>
              <w:sym w:font="Wingdings 2" w:char="00A3"/>
            </w:r>
            <w:r>
              <w:rPr>
                <w:rFonts w:hint="eastAsia"/>
                <w:highlight w:val="none"/>
              </w:rPr>
              <w:t xml:space="preserve">进行了定期检验  </w:t>
            </w:r>
            <w:r>
              <w:rPr>
                <w:rFonts w:hint="eastAsia"/>
                <w:highlight w:val="none"/>
              </w:rPr>
              <w:sym w:font="Wingdings 2" w:char="00A3"/>
            </w:r>
            <w:r>
              <w:rPr>
                <w:rFonts w:hint="eastAsia"/>
                <w:highlight w:val="none"/>
              </w:rPr>
              <w:t>未进行定期</w:t>
            </w:r>
            <w:r>
              <w:rPr>
                <w:rFonts w:hint="eastAsia"/>
              </w:rPr>
              <w:t xml:space="preserve">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highlight w:val="none"/>
                <w:u w:val="single"/>
              </w:rPr>
            </w:pPr>
            <w:r>
              <w:rPr>
                <w:rFonts w:hint="eastAsia"/>
              </w:rPr>
              <w:t>国家强检的</w:t>
            </w:r>
            <w:r>
              <w:rPr>
                <w:rFonts w:hint="eastAsia"/>
                <w:highlight w:val="none"/>
              </w:rPr>
              <w:t>计量器具有：</w:t>
            </w:r>
            <w:r>
              <w:rPr>
                <w:rFonts w:hint="eastAsia"/>
                <w:highlight w:val="none"/>
                <w:u w:val="single"/>
              </w:rPr>
              <w:t xml:space="preserve"> </w:t>
            </w:r>
            <w:r>
              <w:rPr>
                <w:rFonts w:hint="eastAsia" w:ascii="宋体" w:hAnsi="宋体" w:eastAsia="宋体" w:cs="宋体"/>
                <w:color w:val="000000"/>
                <w:sz w:val="21"/>
                <w:szCs w:val="21"/>
                <w:highlight w:val="none"/>
                <w:u w:val="single"/>
              </w:rPr>
              <w:t>游标卡尺、千分尺和耐压测试仪</w:t>
            </w:r>
            <w:r>
              <w:rPr>
                <w:rFonts w:hint="eastAsia"/>
                <w:highlight w:val="none"/>
                <w:u w:val="single"/>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rPr>
              <w:t>组</w:t>
            </w:r>
            <w:r>
              <w:rPr>
                <w:rFonts w:hint="eastAsia"/>
                <w:highlight w:val="none"/>
              </w:rPr>
              <w:t>织的生产和服务提供流程图（见第三条款），</w:t>
            </w:r>
          </w:p>
          <w:p>
            <w:pPr>
              <w:shd w:val="clear" w:color="auto" w:fill="C7DAF1" w:themeFill="text2" w:themeFillTint="32"/>
              <w:jc w:val="left"/>
              <w:rPr>
                <w:highlight w:val="none"/>
              </w:rPr>
            </w:pPr>
            <w:r>
              <w:rPr>
                <w:rFonts w:hint="eastAsia"/>
                <w:highlight w:val="none"/>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highlight w:val="none"/>
                    </w:rPr>
                  </w:pPr>
                  <w:r>
                    <w:rPr>
                      <w:rFonts w:hint="eastAsia"/>
                      <w:highlight w:val="none"/>
                    </w:rPr>
                    <w:t>产品/服务名称</w:t>
                  </w:r>
                </w:p>
              </w:tc>
              <w:tc>
                <w:tcPr>
                  <w:tcW w:w="2687"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eastAsia="宋体" w:cs="Times New Roman"/>
                      <w:highlight w:val="none"/>
                      <w:lang w:val="en-US" w:eastAsia="zh-CN"/>
                    </w:rPr>
                  </w:pPr>
                  <w:r>
                    <w:rPr>
                      <w:rFonts w:hint="eastAsia" w:ascii="宋体" w:hAnsi="宋体" w:cs="宋体"/>
                      <w:color w:val="000000"/>
                      <w:kern w:val="0"/>
                      <w:szCs w:val="21"/>
                      <w:highlight w:val="none"/>
                      <w:lang w:eastAsia="zh-CN"/>
                    </w:rPr>
                    <w:t>电子连接器的加工</w:t>
                  </w:r>
                </w:p>
              </w:tc>
              <w:tc>
                <w:tcPr>
                  <w:tcW w:w="2687" w:type="dxa"/>
                </w:tcPr>
                <w:p>
                  <w:pPr>
                    <w:shd w:val="clear" w:color="auto" w:fill="C7DAF1" w:themeFill="text2" w:themeFillTint="32"/>
                    <w:jc w:val="left"/>
                    <w:rPr>
                      <w:rFonts w:hint="default" w:ascii="Times New Roman" w:hAnsi="Times New Roman" w:eastAsia="宋体" w:cs="Times New Roman"/>
                      <w:highlight w:val="none"/>
                      <w:lang w:val="en-US" w:eastAsia="zh-CN"/>
                    </w:rPr>
                  </w:pPr>
                  <w:r>
                    <w:rPr>
                      <w:rFonts w:hint="eastAsia" w:cs="Times New Roman"/>
                      <w:highlight w:val="none"/>
                      <w:lang w:val="en-US" w:eastAsia="zh-CN"/>
                    </w:rPr>
                    <w:t>耐压测试</w:t>
                  </w:r>
                </w:p>
              </w:tc>
              <w:tc>
                <w:tcPr>
                  <w:tcW w:w="3265" w:type="dxa"/>
                </w:tcPr>
                <w:p>
                  <w:pPr>
                    <w:shd w:val="clear" w:color="auto" w:fill="C7DAF1" w:themeFill="text2" w:themeFillTint="32"/>
                    <w:jc w:val="left"/>
                    <w:rPr>
                      <w:highlight w:val="none"/>
                    </w:rPr>
                  </w:pPr>
                  <w:r>
                    <w:rPr>
                      <w:rFonts w:hint="eastAsia"/>
                      <w:highlight w:val="none"/>
                    </w:rPr>
                    <w:t>1650ACV 1ma 1s(秒）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highlight w:val="none"/>
                    </w:rPr>
                  </w:pPr>
                </w:p>
              </w:tc>
              <w:tc>
                <w:tcPr>
                  <w:tcW w:w="2687"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highlight w:val="none"/>
                    </w:rPr>
                  </w:pPr>
                </w:p>
              </w:tc>
              <w:tc>
                <w:tcPr>
                  <w:tcW w:w="2687"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bl>
          <w:p>
            <w:pPr>
              <w:shd w:val="clear" w:color="auto" w:fill="C7DAF1" w:themeFill="text2" w:themeFillTint="32"/>
              <w:jc w:val="left"/>
              <w:rPr>
                <w:highlight w:val="none"/>
              </w:rPr>
            </w:pPr>
          </w:p>
          <w:p>
            <w:pPr>
              <w:shd w:val="clear" w:color="auto" w:fill="C7DAF1" w:themeFill="text2" w:themeFillTint="32"/>
              <w:jc w:val="left"/>
              <w:rPr>
                <w:highlight w:val="none"/>
              </w:rPr>
            </w:pPr>
            <w:r>
              <w:rPr>
                <w:rFonts w:hint="eastAsia"/>
                <w:highlight w:val="none"/>
              </w:rPr>
              <w:t>需要确认的过程：</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 xml:space="preserve"> ，</w:t>
            </w:r>
          </w:p>
          <w:p>
            <w:pPr>
              <w:shd w:val="clear" w:color="auto" w:fill="C7DAF1" w:themeFill="text2" w:themeFillTint="32"/>
              <w:jc w:val="left"/>
              <w:rPr>
                <w:highlight w:val="none"/>
              </w:rPr>
            </w:pPr>
            <w:r>
              <w:rPr>
                <w:rFonts w:hint="eastAsia" w:ascii="Wingdings" w:hAnsi="Wingdings"/>
                <w:highlight w:val="none"/>
                <w:lang w:eastAsia="zh-CN"/>
              </w:rPr>
              <w:sym w:font="Wingdings 2" w:char="00A3"/>
            </w:r>
            <w:r>
              <w:rPr>
                <w:rFonts w:hint="eastAsia"/>
                <w:highlight w:val="none"/>
              </w:rPr>
              <w:t xml:space="preserve">进行了有效的确认  </w:t>
            </w:r>
            <w:r>
              <w:rPr>
                <w:rFonts w:hint="eastAsia" w:ascii="Wingdings" w:hAnsi="Wingdings"/>
                <w:highlight w:val="none"/>
                <w:lang w:eastAsia="zh-CN"/>
              </w:rPr>
              <w:sym w:font="Wingdings 2" w:char="00A3"/>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fill="C7DAF1" w:themeFill="text2" w:themeFillTint="32"/>
              <w:jc w:val="left"/>
              <w:rPr>
                <w:highlight w:val="none"/>
              </w:rPr>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ascii="宋体" w:hAnsi="宋体" w:cs="宋体"/>
                <w:color w:val="000000"/>
                <w:sz w:val="21"/>
                <w:szCs w:val="21"/>
                <w:highlight w:val="none"/>
                <w:lang w:val="en-US" w:eastAsia="zh-CN"/>
              </w:rPr>
              <w:t>2022年4月13日</w:t>
            </w:r>
            <w:r>
              <w:rPr>
                <w:rFonts w:hint="eastAsia"/>
                <w:highlight w:val="none"/>
              </w:rPr>
              <w:t>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sym w:font="Wingdings 2" w:char="00A3"/>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highlight w:val="none"/>
                <w:u w:val="single"/>
              </w:rPr>
              <w:t xml:space="preserve"> </w:t>
            </w:r>
            <w:r>
              <w:rPr>
                <w:rFonts w:hint="eastAsia" w:ascii="宋体" w:hAnsi="宋体" w:cs="宋体"/>
                <w:color w:val="000000"/>
                <w:sz w:val="21"/>
                <w:szCs w:val="21"/>
                <w:highlight w:val="none"/>
                <w:lang w:val="en-US" w:eastAsia="zh-CN"/>
              </w:rPr>
              <w:t>2022年4 月26日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eastAsia="宋体"/>
                <w:lang w:val="en-US" w:eastAsia="zh-CN"/>
              </w:rPr>
              <w:t>3</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3463A74"/>
    <w:rsid w:val="066466EB"/>
    <w:rsid w:val="0687062B"/>
    <w:rsid w:val="07DD72A9"/>
    <w:rsid w:val="0D7764F6"/>
    <w:rsid w:val="0EFB414D"/>
    <w:rsid w:val="0F040A6B"/>
    <w:rsid w:val="11405DAC"/>
    <w:rsid w:val="11BB562D"/>
    <w:rsid w:val="15E50ECA"/>
    <w:rsid w:val="17544559"/>
    <w:rsid w:val="216A2857"/>
    <w:rsid w:val="24FF0A6A"/>
    <w:rsid w:val="28795BCE"/>
    <w:rsid w:val="2BCD0048"/>
    <w:rsid w:val="3B3B4F65"/>
    <w:rsid w:val="3F960DE7"/>
    <w:rsid w:val="40C477AB"/>
    <w:rsid w:val="42310E70"/>
    <w:rsid w:val="453E7AC9"/>
    <w:rsid w:val="55782BE6"/>
    <w:rsid w:val="56981066"/>
    <w:rsid w:val="5C34067A"/>
    <w:rsid w:val="607E2A31"/>
    <w:rsid w:val="612260FC"/>
    <w:rsid w:val="64F953C5"/>
    <w:rsid w:val="66AB0941"/>
    <w:rsid w:val="67184229"/>
    <w:rsid w:val="677A27ED"/>
    <w:rsid w:val="6F03756C"/>
    <w:rsid w:val="6F120E2D"/>
    <w:rsid w:val="72037883"/>
    <w:rsid w:val="7B272D91"/>
    <w:rsid w:val="7F8F0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18588</Words>
  <Characters>19276</Characters>
  <Lines>150</Lines>
  <Paragraphs>42</Paragraphs>
  <TotalTime>2</TotalTime>
  <ScaleCrop>false</ScaleCrop>
  <LinksUpToDate>false</LinksUpToDate>
  <CharactersWithSpaces>19397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2022-08-01T04:44:22Z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