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疫情期间补充审核检查表（通用）</w:t>
      </w:r>
    </w:p>
    <w:p>
      <w:pPr>
        <w:jc w:val="center"/>
        <w:rPr>
          <w:rFonts w:hint="eastAsia"/>
          <w:sz w:val="30"/>
          <w:szCs w:val="30"/>
        </w:rPr>
      </w:pP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4"/>
        </w:rPr>
        <w:t>受审核企业：</w:t>
      </w:r>
      <w:bookmarkStart w:id="0" w:name="组织名称"/>
      <w:r>
        <w:rPr>
          <w:rFonts w:hint="eastAsia"/>
          <w:sz w:val="24"/>
          <w:lang w:val="en-US" w:eastAsia="zh-CN"/>
        </w:rPr>
        <w:t>浙江大民家具有限公司</w:t>
      </w:r>
      <w:bookmarkEnd w:id="0"/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 审核员：</w:t>
      </w:r>
      <w:r>
        <w:rPr>
          <w:rFonts w:hint="eastAsia"/>
          <w:sz w:val="24"/>
          <w:lang w:val="en-US" w:eastAsia="zh-CN"/>
        </w:rPr>
        <w:t>李丽英</w:t>
      </w:r>
      <w:r>
        <w:rPr>
          <w:rFonts w:hint="eastAsia"/>
          <w:sz w:val="24"/>
        </w:rPr>
        <w:t xml:space="preserve">    审核日期：</w:t>
      </w:r>
      <w:r>
        <w:rPr>
          <w:rFonts w:hint="eastAsia"/>
          <w:sz w:val="24"/>
          <w:lang w:val="en-US" w:eastAsia="zh-CN"/>
        </w:rPr>
        <w:t>2022.7.19</w:t>
      </w:r>
    </w:p>
    <w:tbl>
      <w:tblPr>
        <w:tblStyle w:val="8"/>
        <w:tblW w:w="0" w:type="auto"/>
        <w:tblInd w:w="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2729"/>
        <w:gridCol w:w="5246"/>
        <w:gridCol w:w="1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3274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审核要点</w:t>
            </w:r>
          </w:p>
        </w:tc>
        <w:tc>
          <w:tcPr>
            <w:tcW w:w="4276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审核记录</w:t>
            </w:r>
          </w:p>
        </w:tc>
        <w:tc>
          <w:tcPr>
            <w:tcW w:w="128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评价结论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查看经营地址与认证证书的一致性</w:t>
            </w:r>
          </w:p>
        </w:tc>
        <w:tc>
          <w:tcPr>
            <w:tcW w:w="4276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现场查看企业的经营地址预认证证书一致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3054985" cy="1931035"/>
                  <wp:effectExtent l="0" t="0" r="5715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现场查看资质证书与提供资料的一致性</w:t>
            </w:r>
          </w:p>
        </w:tc>
        <w:tc>
          <w:tcPr>
            <w:tcW w:w="4276" w:type="dxa"/>
          </w:tcPr>
          <w:p>
            <w:pPr>
              <w:rPr>
                <w:rFonts w:hint="eastAsia" w:asciiTheme="minorEastAsia" w:hAnsiTheme="minorEastAsia"/>
                <w:szCs w:val="21"/>
              </w:rPr>
            </w:pPr>
          </w:p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企业的</w:t>
            </w:r>
            <w:r>
              <w:rPr>
                <w:rFonts w:hint="eastAsia" w:asciiTheme="minorEastAsia" w:hAnsiTheme="minorEastAsia"/>
                <w:szCs w:val="21"/>
              </w:rPr>
              <w:t>资质证书与提供资料的一致</w:t>
            </w:r>
          </w:p>
        </w:tc>
        <w:tc>
          <w:tcPr>
            <w:tcW w:w="1280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与最高管理者或管代确认获证后管理体系的重大变化</w:t>
            </w:r>
          </w:p>
        </w:tc>
        <w:tc>
          <w:tcPr>
            <w:tcW w:w="4276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与总经理王佳君确认：该公司获证后能源管理体系没有重大变化</w:t>
            </w:r>
          </w:p>
        </w:tc>
        <w:tc>
          <w:tcPr>
            <w:tcW w:w="1280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与最高管理</w:t>
            </w:r>
            <w:r>
              <w:rPr>
                <w:rFonts w:hint="eastAsia" w:asciiTheme="minorEastAsia" w:hAnsiTheme="minorEastAsia"/>
                <w:szCs w:val="21"/>
                <w:highlight w:val="none"/>
              </w:rPr>
              <w:t>者或管代确认获证后管理体系认证范围有无变化</w:t>
            </w:r>
          </w:p>
        </w:tc>
        <w:tc>
          <w:tcPr>
            <w:tcW w:w="4276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与总经理王佳君确认：该公司获证后能源管理体系范围没有发生变化</w:t>
            </w:r>
          </w:p>
        </w:tc>
        <w:tc>
          <w:tcPr>
            <w:tcW w:w="1280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与</w:t>
            </w:r>
            <w:r>
              <w:rPr>
                <w:rFonts w:hint="eastAsia" w:asciiTheme="minorEastAsia" w:hAnsiTheme="minorEastAsia"/>
                <w:szCs w:val="21"/>
                <w:highlight w:val="none"/>
              </w:rPr>
              <w:t>最高管理者或管代确认获证后是否发生事件、曝光、处罚和重大投诉</w:t>
            </w:r>
          </w:p>
        </w:tc>
        <w:tc>
          <w:tcPr>
            <w:tcW w:w="4276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hint="default" w:asciiTheme="minorEastAsia" w:hAnsi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与总经理王佳君确认：该公司能源管理体系获证后至今未发生能源事件、曝光或被处罚。</w:t>
            </w:r>
          </w:p>
        </w:tc>
        <w:tc>
          <w:tcPr>
            <w:tcW w:w="1280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与最高管理者或管代确认获证后如何使用认证证书和标志</w:t>
            </w:r>
          </w:p>
        </w:tc>
        <w:tc>
          <w:tcPr>
            <w:tcW w:w="4276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default" w:asciiTheme="minorEastAsia" w:hAnsi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与总经理王佳君确认：该公司能源管理体系获证后证书使用，主要用于招投标、绿色企业创建，没有不规范的使用。</w:t>
            </w:r>
          </w:p>
        </w:tc>
        <w:tc>
          <w:tcPr>
            <w:tcW w:w="1280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在</w:t>
            </w:r>
            <w:r>
              <w:rPr>
                <w:rFonts w:hint="eastAsia" w:asciiTheme="minorEastAsia" w:hAnsiTheme="minorEastAsia"/>
                <w:szCs w:val="21"/>
                <w:highlight w:val="none"/>
              </w:rPr>
              <w:t>成品库</w:t>
            </w:r>
            <w:r>
              <w:rPr>
                <w:rFonts w:hint="eastAsia" w:asciiTheme="minorEastAsia" w:hAnsiTheme="minorEastAsia"/>
                <w:szCs w:val="21"/>
              </w:rPr>
              <w:t>中查看产品包装是否正确使用认证标志</w:t>
            </w:r>
          </w:p>
        </w:tc>
        <w:tc>
          <w:tcPr>
            <w:tcW w:w="4276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查看成品库产品包装未使用能源管理体系证书</w:t>
            </w:r>
          </w:p>
          <w:p>
            <w:pPr>
              <w:rPr>
                <w:rFonts w:hint="default" w:asciiTheme="minorEastAsia" w:hAnsiTheme="minorEastAsia"/>
                <w:szCs w:val="21"/>
                <w:lang w:val="en-US" w:eastAsia="zh-CN"/>
              </w:rPr>
            </w:pPr>
          </w:p>
        </w:tc>
        <w:tc>
          <w:tcPr>
            <w:tcW w:w="1280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hint="default" w:asciiTheme="minorEastAsia" w:hAnsi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</w:tbl>
    <w:p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注：通用部分适用于QEO</w:t>
      </w:r>
      <w:r>
        <w:rPr>
          <w:rFonts w:hint="eastAsia"/>
          <w:sz w:val="24"/>
          <w:lang w:val="en-US" w:eastAsia="zh-CN"/>
        </w:rPr>
        <w:t>En</w:t>
      </w:r>
      <w:r>
        <w:rPr>
          <w:rFonts w:hint="eastAsia"/>
          <w:sz w:val="24"/>
        </w:rPr>
        <w:t>所有体系</w:t>
      </w:r>
    </w:p>
    <w:p>
      <w:pPr>
        <w:pStyle w:val="4"/>
        <w:rPr>
          <w:rFonts w:hint="eastAsia"/>
          <w:sz w:val="24"/>
        </w:rPr>
      </w:pP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疫情期间补充审核检查表（E</w:t>
      </w:r>
      <w:r>
        <w:rPr>
          <w:rFonts w:hint="eastAsia"/>
          <w:sz w:val="30"/>
          <w:szCs w:val="30"/>
          <w:lang w:val="en-US" w:eastAsia="zh-CN"/>
        </w:rPr>
        <w:t>n</w:t>
      </w:r>
      <w:r>
        <w:rPr>
          <w:rFonts w:hint="eastAsia"/>
          <w:sz w:val="30"/>
          <w:szCs w:val="30"/>
        </w:rPr>
        <w:t>MS）</w:t>
      </w:r>
    </w:p>
    <w:p>
      <w:pPr>
        <w:jc w:val="left"/>
        <w:rPr>
          <w:sz w:val="30"/>
          <w:szCs w:val="30"/>
        </w:rPr>
      </w:pPr>
      <w:r>
        <w:rPr>
          <w:rFonts w:hint="eastAsia"/>
          <w:sz w:val="24"/>
        </w:rPr>
        <w:t>受审核企业：</w:t>
      </w:r>
      <w:r>
        <w:rPr>
          <w:rFonts w:hint="eastAsia"/>
          <w:sz w:val="24"/>
          <w:lang w:val="en-US" w:eastAsia="zh-CN"/>
        </w:rPr>
        <w:t xml:space="preserve">浙江大民家具有限公司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审核员：</w:t>
      </w:r>
      <w:r>
        <w:rPr>
          <w:rFonts w:hint="eastAsia"/>
          <w:sz w:val="24"/>
          <w:lang w:val="en-US" w:eastAsia="zh-CN"/>
        </w:rPr>
        <w:t>李丽英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 xml:space="preserve"> 审核日期：</w:t>
      </w:r>
      <w:r>
        <w:rPr>
          <w:rFonts w:hint="eastAsia"/>
          <w:sz w:val="24"/>
          <w:lang w:val="en-US" w:eastAsia="zh-CN"/>
        </w:rPr>
        <w:t>2022.7.19</w:t>
      </w:r>
    </w:p>
    <w:tbl>
      <w:tblPr>
        <w:tblStyle w:val="8"/>
        <w:tblW w:w="0" w:type="auto"/>
        <w:tblInd w:w="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889"/>
        <w:gridCol w:w="4791"/>
        <w:gridCol w:w="1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条款号</w:t>
            </w:r>
          </w:p>
        </w:tc>
        <w:tc>
          <w:tcPr>
            <w:tcW w:w="288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审核要点</w:t>
            </w:r>
          </w:p>
        </w:tc>
        <w:tc>
          <w:tcPr>
            <w:tcW w:w="4791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审核记录</w:t>
            </w:r>
          </w:p>
        </w:tc>
        <w:tc>
          <w:tcPr>
            <w:tcW w:w="128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评价结论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确认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</w:t>
            </w:r>
            <w:r>
              <w:rPr>
                <w:rFonts w:hint="eastAsia" w:asciiTheme="minorEastAsia" w:hAnsiTheme="minorEastAsia"/>
                <w:szCs w:val="21"/>
              </w:rPr>
              <w:t>方针是否传达到各部门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能源方针：已传达，抽查</w:t>
            </w:r>
            <w:r>
              <w:rPr>
                <w:rFonts w:hint="eastAsia" w:asciiTheme="minorEastAsia" w:hAnsiTheme="minorEastAsia"/>
                <w:szCs w:val="21"/>
                <w:highlight w:val="none"/>
                <w:lang w:val="en-US" w:eastAsia="zh-CN"/>
              </w:rPr>
              <w:t>职工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：朱敏、李楠基本清楚。</w:t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5.3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确认各部门的职责和权限是否确认并在公司内进行沟通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现场确认各部门的职责和权限在公司内已经得到沟通和落实。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确认公司运行重大风险和机遇与体系文件和资料一致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重大风险和机遇与体系文件一致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6.3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是否按照要求开展能源评审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企业能源评审控制程序规定每年进行一次评审，但企业每月对能源数据进行分析。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6.2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/</w:t>
            </w:r>
            <w:r>
              <w:rPr>
                <w:rFonts w:hint="eastAsia" w:asciiTheme="minorEastAsia" w:hAnsiTheme="minorEastAsia"/>
                <w:szCs w:val="21"/>
              </w:rPr>
              <w:t>6.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查看获证后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</w:t>
            </w:r>
            <w:r>
              <w:rPr>
                <w:rFonts w:hint="eastAsia" w:asciiTheme="minorEastAsia" w:hAnsiTheme="minorEastAsia"/>
                <w:szCs w:val="21"/>
              </w:rPr>
              <w:t>目标完成情况现场查看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能源绩效参数</w:t>
            </w:r>
            <w:r>
              <w:rPr>
                <w:rFonts w:hint="eastAsia" w:asciiTheme="minorEastAsia" w:hAnsiTheme="minorEastAsia"/>
                <w:szCs w:val="21"/>
              </w:rPr>
              <w:t>是否充分，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是否定期</w:t>
            </w:r>
            <w:r>
              <w:rPr>
                <w:rFonts w:hint="eastAsia" w:asciiTheme="minorEastAsia" w:hAnsiTheme="minorEastAsia"/>
                <w:szCs w:val="21"/>
              </w:rPr>
              <w:t>评价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2022年企业能源绩效参数及目标：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综合能耗：9.47tce；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万元产值综合能耗：10kgce/万元；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单位产品综合能耗：1.15kgce/套；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2022年4-6月份目标完成情况</w:t>
            </w:r>
          </w:p>
          <w:tbl>
            <w:tblPr>
              <w:tblStyle w:val="8"/>
              <w:tblW w:w="457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3"/>
              <w:gridCol w:w="1190"/>
              <w:gridCol w:w="730"/>
              <w:gridCol w:w="730"/>
              <w:gridCol w:w="82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3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ind w:left="0" w:leftChars="0" w:firstLine="0" w:firstLineChars="0"/>
                    <w:textAlignment w:val="auto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能源绩效参数</w:t>
                  </w:r>
                </w:p>
              </w:tc>
              <w:tc>
                <w:tcPr>
                  <w:tcW w:w="119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单位</w:t>
                  </w:r>
                </w:p>
              </w:tc>
              <w:tc>
                <w:tcPr>
                  <w:tcW w:w="73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4月</w:t>
                  </w:r>
                </w:p>
              </w:tc>
              <w:tc>
                <w:tcPr>
                  <w:tcW w:w="73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5月</w:t>
                  </w:r>
                </w:p>
              </w:tc>
              <w:tc>
                <w:tcPr>
                  <w:tcW w:w="822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6月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3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ind w:left="0" w:leftChars="0" w:firstLine="0" w:firstLineChars="0"/>
                    <w:textAlignment w:val="auto"/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综合能耗</w:t>
                  </w:r>
                </w:p>
              </w:tc>
              <w:tc>
                <w:tcPr>
                  <w:tcW w:w="1190" w:type="dxa"/>
                </w:tcPr>
                <w:p>
                  <w:pPr>
                    <w:pStyle w:val="2"/>
                    <w:ind w:left="0" w:leftChars="0" w:firstLine="0" w:firstLineChars="0"/>
                    <w:jc w:val="center"/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tce</w:t>
                  </w:r>
                </w:p>
              </w:tc>
              <w:tc>
                <w:tcPr>
                  <w:tcW w:w="73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/>
                      <w:kern w:val="2"/>
                      <w:sz w:val="21"/>
                      <w:szCs w:val="24"/>
                      <w:lang w:val="en-US" w:eastAsia="zh-CN" w:bidi="ar-SA"/>
                    </w:rPr>
                    <w:t>0.645</w:t>
                  </w:r>
                </w:p>
              </w:tc>
              <w:tc>
                <w:tcPr>
                  <w:tcW w:w="73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/>
                      <w:kern w:val="2"/>
                      <w:sz w:val="21"/>
                      <w:szCs w:val="24"/>
                      <w:lang w:val="en-US" w:eastAsia="zh-CN" w:bidi="ar-SA"/>
                    </w:rPr>
                    <w:t>0.802</w:t>
                  </w:r>
                </w:p>
              </w:tc>
              <w:tc>
                <w:tcPr>
                  <w:tcW w:w="822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/>
                      <w:kern w:val="2"/>
                      <w:sz w:val="21"/>
                      <w:szCs w:val="24"/>
                      <w:lang w:val="en-US" w:eastAsia="zh-CN" w:bidi="ar-SA"/>
                    </w:rPr>
                    <w:t>0.841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3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ind w:left="0" w:leftChars="0" w:firstLine="0" w:firstLineChars="0"/>
                    <w:textAlignment w:val="auto"/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单位产品综合能耗</w:t>
                  </w:r>
                </w:p>
              </w:tc>
              <w:tc>
                <w:tcPr>
                  <w:tcW w:w="1190" w:type="dxa"/>
                </w:tcPr>
                <w:p>
                  <w:pPr>
                    <w:pStyle w:val="2"/>
                    <w:ind w:left="0" w:leftChars="0" w:firstLine="0" w:firstLineChars="0"/>
                    <w:jc w:val="center"/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kgce/套</w:t>
                  </w:r>
                </w:p>
              </w:tc>
              <w:tc>
                <w:tcPr>
                  <w:tcW w:w="73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/>
                      <w:kern w:val="2"/>
                      <w:sz w:val="21"/>
                      <w:szCs w:val="24"/>
                      <w:lang w:val="en-US" w:eastAsia="zh-CN" w:bidi="ar-SA"/>
                    </w:rPr>
                    <w:t>0.701</w:t>
                  </w:r>
                </w:p>
              </w:tc>
              <w:tc>
                <w:tcPr>
                  <w:tcW w:w="73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/>
                      <w:kern w:val="2"/>
                      <w:sz w:val="21"/>
                      <w:szCs w:val="24"/>
                      <w:lang w:val="en-US" w:eastAsia="zh-CN" w:bidi="ar-SA"/>
                    </w:rPr>
                    <w:t>0.76</w:t>
                  </w:r>
                </w:p>
              </w:tc>
              <w:tc>
                <w:tcPr>
                  <w:tcW w:w="822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/>
                      <w:kern w:val="2"/>
                      <w:sz w:val="21"/>
                      <w:szCs w:val="24"/>
                      <w:lang w:val="en-US" w:eastAsia="zh-CN" w:bidi="ar-SA"/>
                    </w:rPr>
                    <w:t>0.764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3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ind w:left="0" w:leftChars="0" w:firstLine="0" w:firstLineChars="0"/>
                    <w:textAlignment w:val="auto"/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万元产值综合能耗</w:t>
                  </w:r>
                </w:p>
              </w:tc>
              <w:tc>
                <w:tcPr>
                  <w:tcW w:w="1190" w:type="dxa"/>
                </w:tcPr>
                <w:p>
                  <w:pPr>
                    <w:pStyle w:val="2"/>
                    <w:ind w:left="0" w:leftChars="0" w:firstLine="0" w:firstLineChars="0"/>
                    <w:jc w:val="center"/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  <w:t>kgce/万元</w:t>
                  </w:r>
                </w:p>
              </w:tc>
              <w:tc>
                <w:tcPr>
                  <w:tcW w:w="73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/>
                      <w:kern w:val="2"/>
                      <w:sz w:val="21"/>
                      <w:szCs w:val="24"/>
                      <w:lang w:val="en-US" w:eastAsia="zh-CN" w:bidi="ar-SA"/>
                    </w:rPr>
                    <w:t>8.06</w:t>
                  </w:r>
                </w:p>
              </w:tc>
              <w:tc>
                <w:tcPr>
                  <w:tcW w:w="73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仿宋"/>
                      <w:kern w:val="2"/>
                      <w:sz w:val="21"/>
                      <w:szCs w:val="24"/>
                      <w:lang w:val="en-US" w:eastAsia="zh-CN" w:bidi="ar-SA"/>
                    </w:rPr>
                    <w:t>7.29</w:t>
                  </w:r>
                </w:p>
              </w:tc>
              <w:tc>
                <w:tcPr>
                  <w:tcW w:w="822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cs="仿宋" w:asciiTheme="minorHAnsi" w:hAnsiTheme="minorHAnsi" w:eastAsiaTheme="minorEastAsia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bookmarkStart w:id="1" w:name="_GoBack"/>
                  <w:bookmarkEnd w:id="1"/>
                  <w:r>
                    <w:rPr>
                      <w:rFonts w:hint="eastAsia" w:cs="仿宋"/>
                      <w:kern w:val="2"/>
                      <w:sz w:val="21"/>
                      <w:szCs w:val="24"/>
                      <w:lang w:val="en-US" w:eastAsia="zh-CN" w:bidi="ar-SA"/>
                    </w:rPr>
                    <w:t>6.95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从指标完成情况可以看出，综合能耗和单位产品综合能耗指标已完成，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/>
              <w:textAlignment w:val="auto"/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  <w:t>能源绩效参数</w:t>
            </w:r>
            <w:r>
              <w:rPr>
                <w:rFonts w:hint="eastAsia" w:cs="仿宋"/>
                <w:kern w:val="2"/>
                <w:sz w:val="21"/>
                <w:szCs w:val="24"/>
                <w:lang w:val="en-US" w:eastAsia="zh-CN" w:bidi="ar-SA"/>
              </w:rPr>
              <w:t>识别充分，每月进行分析评价。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6.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5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能源基准确定</w:t>
            </w:r>
            <w:r>
              <w:rPr>
                <w:rFonts w:hint="eastAsia" w:asciiTheme="minorEastAsia" w:hAnsiTheme="minorEastAsia"/>
                <w:szCs w:val="21"/>
              </w:rPr>
              <w:t>是否充分，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是否定期</w:t>
            </w:r>
            <w:r>
              <w:rPr>
                <w:rFonts w:hint="eastAsia" w:asciiTheme="minorEastAsia" w:hAnsiTheme="minorEastAsia"/>
                <w:szCs w:val="21"/>
              </w:rPr>
              <w:t>评价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能源基准充分，每月进行分析评价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6.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6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能源数据收集</w:t>
            </w:r>
            <w:r>
              <w:rPr>
                <w:rFonts w:hint="eastAsia" w:asciiTheme="minorEastAsia" w:hAnsiTheme="minorEastAsia"/>
                <w:szCs w:val="21"/>
              </w:rPr>
              <w:t>是否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控制</w:t>
            </w:r>
            <w:r>
              <w:rPr>
                <w:rFonts w:hint="eastAsia" w:asciiTheme="minorEastAsia" w:hAnsiTheme="minorEastAsia"/>
                <w:szCs w:val="21"/>
              </w:rPr>
              <w:t>有效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color w:val="0000FF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能源数据收集每月收集电量、水量、天然气量。控制有效。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color w:val="0000FF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7.4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查看主管部门的抽查是否有不符合和整改措施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地方主管部门是否来检查或抽查过：市场监督局的人员未来企业抽查或检查。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8" w:hRule="atLeast"/>
        </w:trPr>
        <w:tc>
          <w:tcPr>
            <w:tcW w:w="850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8.1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/9.1.1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查看3~5台主要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用能</w:t>
            </w:r>
            <w:r>
              <w:rPr>
                <w:rFonts w:hint="eastAsia" w:asciiTheme="minorEastAsia" w:hAnsiTheme="minorEastAsia"/>
                <w:szCs w:val="21"/>
              </w:rPr>
              <w:t>设备运行的是否完好以及维修记录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该企业无主要耗能设备。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抽查：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中央除尘设备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148715" cy="889000"/>
                  <wp:effectExtent l="0" t="0" r="698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2.半自动裁板机：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485900" cy="1187450"/>
                  <wp:effectExtent l="0" t="0" r="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多孔位排钻：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524000" cy="11684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以上设备运行正常。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抽查维护记录：</w:t>
            </w:r>
          </w:p>
          <w:p>
            <w:pPr>
              <w:pStyle w:val="2"/>
              <w:ind w:left="0" w:leftChars="0" w:firstLine="0" w:firstLineChars="0"/>
            </w:pPr>
            <w:r>
              <w:drawing>
                <wp:inline distT="0" distB="0" distL="114300" distR="114300">
                  <wp:extent cx="1366520" cy="1658620"/>
                  <wp:effectExtent l="0" t="0" r="5080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341120" cy="1670685"/>
                  <wp:effectExtent l="0" t="0" r="5080" b="57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left="0" w:leftChars="0" w:firstLine="0" w:firstLineChars="0"/>
            </w:pPr>
            <w:r>
              <w:drawing>
                <wp:inline distT="0" distB="0" distL="114300" distR="114300">
                  <wp:extent cx="1638300" cy="19050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left="0" w:leftChars="0" w:firstLine="0" w:firstLineChars="0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  <w:t>抽查：生产记录</w:t>
            </w:r>
            <w:r>
              <w:rPr>
                <w:rFonts w:hint="eastAsia" w:cs="仿宋" w:asciiTheme="minorEastAsia" w:hAnsiTheme="minorEastAsia"/>
                <w:kern w:val="2"/>
                <w:sz w:val="21"/>
                <w:szCs w:val="21"/>
                <w:lang w:val="en-US" w:eastAsia="zh-CN" w:bidi="ar-SA"/>
              </w:rPr>
              <w:t>，正常生产</w:t>
            </w:r>
          </w:p>
          <w:p>
            <w:pPr>
              <w:pStyle w:val="2"/>
              <w:ind w:left="0" w:leftChars="0" w:firstLine="0" w:firstLineChars="0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226820" cy="1410970"/>
                  <wp:effectExtent l="0" t="0" r="5080" b="1143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149350" cy="1410335"/>
                  <wp:effectExtent l="0" t="0" r="6350" b="1206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基本符合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8.1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/6.6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能源计量设施</w:t>
            </w:r>
            <w:r>
              <w:rPr>
                <w:rFonts w:hint="eastAsia" w:asciiTheme="minorEastAsia" w:hAnsiTheme="minorEastAsia"/>
                <w:szCs w:val="21"/>
              </w:rPr>
              <w:t>是否正常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查看电表、水表的运行情况：运行正常</w:t>
            </w:r>
          </w:p>
          <w:p>
            <w:r>
              <w:drawing>
                <wp:inline distT="0" distB="0" distL="114300" distR="114300">
                  <wp:extent cx="1169035" cy="1206500"/>
                  <wp:effectExtent l="0" t="0" r="1206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left="0" w:leftChars="0" w:firstLine="0" w:firstLineChars="0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  <w:t>水表在地下窨井内没打开，数据获取运行正常。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询问获证后是否发生过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技改技措项目</w:t>
            </w:r>
            <w:r>
              <w:rPr>
                <w:rFonts w:hint="eastAsia" w:asciiTheme="minorEastAsia" w:hAnsiTheme="minorEastAsia"/>
                <w:szCs w:val="21"/>
              </w:rPr>
              <w:t>，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是否考虑节能？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现场询问获证后企业未发生过技改技措项目。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8.3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询问获</w:t>
            </w:r>
            <w:r>
              <w:rPr>
                <w:rFonts w:hint="eastAsia" w:asciiTheme="minorEastAsia" w:hAnsiTheme="minorEastAsia"/>
                <w:szCs w:val="21"/>
                <w:highlight w:val="none"/>
              </w:rPr>
              <w:t>证后是否发生过</w:t>
            </w:r>
            <w:r>
              <w:rPr>
                <w:rFonts w:hint="eastAsia" w:asciiTheme="minorEastAsia" w:hAnsiTheme="minorEastAsia"/>
                <w:szCs w:val="21"/>
                <w:highlight w:val="none"/>
                <w:lang w:val="en-US" w:eastAsia="zh-CN"/>
              </w:rPr>
              <w:t>能源采购和主要用能设备的采购</w:t>
            </w:r>
            <w:r>
              <w:rPr>
                <w:rFonts w:hint="eastAsia" w:asciiTheme="minorEastAsia" w:hAnsiTheme="minorEastAsia"/>
                <w:szCs w:val="21"/>
                <w:highlight w:val="none"/>
              </w:rPr>
              <w:t>，</w:t>
            </w:r>
            <w:r>
              <w:rPr>
                <w:rFonts w:hint="eastAsia" w:asciiTheme="minorEastAsia" w:hAnsiTheme="minorEastAsia"/>
                <w:szCs w:val="21"/>
                <w:highlight w:val="none"/>
                <w:lang w:val="en-US" w:eastAsia="zh-CN"/>
              </w:rPr>
              <w:t>是否考虑节能要求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？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现场询问企业今天开始陆续停工进入检修。询问生产部设备组</w:t>
            </w:r>
            <w:r>
              <w:rPr>
                <w:rFonts w:hint="eastAsia" w:asciiTheme="minorEastAsia" w:hAnsiTheme="minorEastAsia"/>
                <w:szCs w:val="21"/>
                <w:highlight w:val="none"/>
                <w:lang w:val="en-US" w:eastAsia="zh-CN"/>
              </w:rPr>
              <w:t>获证后未采购过主要用能设备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查看相关的检测报告是否真实有效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无相关能源检测报告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节能</w:t>
            </w:r>
            <w:r>
              <w:rPr>
                <w:rFonts w:hint="eastAsia" w:asciiTheme="minorEastAsia" w:hAnsiTheme="minorEastAsia"/>
                <w:szCs w:val="21"/>
              </w:rPr>
              <w:t>评估及批复/验收是否真实有效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无节能评估和节能验收。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9.1.2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查看有无明显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违反相关</w:t>
            </w:r>
            <w:r>
              <w:rPr>
                <w:rFonts w:hint="eastAsia" w:asciiTheme="minorEastAsia" w:hAnsiTheme="minorEastAsia"/>
                <w:szCs w:val="21"/>
              </w:rPr>
              <w:t>法律法规的情况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查看无明显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违反相关</w:t>
            </w:r>
            <w:r>
              <w:rPr>
                <w:rFonts w:hint="eastAsia" w:asciiTheme="minorEastAsia" w:hAnsiTheme="minorEastAsia"/>
                <w:szCs w:val="21"/>
              </w:rPr>
              <w:t>法律法规的情况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查看内部审核材料是否完整，与提供时一致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查看内部审核材料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比较</w:t>
            </w:r>
            <w:r>
              <w:rPr>
                <w:rFonts w:hint="eastAsia" w:asciiTheme="minorEastAsia" w:hAnsiTheme="minorEastAsia"/>
                <w:szCs w:val="21"/>
              </w:rPr>
              <w:t>完整，与提供时一致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9.3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查看管理评审材料是否完整，与提供时一致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现场查看管理评审材料完整，与提供时一致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询问获证后是否发生过不符合，并采取了纠正措施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询问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总经理王佳君：企业</w:t>
            </w:r>
            <w:r>
              <w:rPr>
                <w:rFonts w:hint="eastAsia" w:asciiTheme="minorEastAsia" w:hAnsiTheme="minorEastAsia"/>
                <w:szCs w:val="21"/>
              </w:rPr>
              <w:t>获证后是否发生过不符合，并采取了纠正措施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回答：没有发生过不符合。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67C69F6"/>
    <w:multiLevelType w:val="singleLevel"/>
    <w:tmpl w:val="F67C69F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0ABCB9C"/>
    <w:multiLevelType w:val="singleLevel"/>
    <w:tmpl w:val="50ABCB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D76A29"/>
    <w:rsid w:val="0000554C"/>
    <w:rsid w:val="00320AD0"/>
    <w:rsid w:val="0040116E"/>
    <w:rsid w:val="00DE5A18"/>
    <w:rsid w:val="0611256D"/>
    <w:rsid w:val="08535C00"/>
    <w:rsid w:val="09B6777E"/>
    <w:rsid w:val="0AFD2332"/>
    <w:rsid w:val="11DF67EA"/>
    <w:rsid w:val="196D4D15"/>
    <w:rsid w:val="24D80FA9"/>
    <w:rsid w:val="24E60077"/>
    <w:rsid w:val="25C836D6"/>
    <w:rsid w:val="26C06492"/>
    <w:rsid w:val="33B025A0"/>
    <w:rsid w:val="33D64DB4"/>
    <w:rsid w:val="410F7EB3"/>
    <w:rsid w:val="411C7F5F"/>
    <w:rsid w:val="41B6500A"/>
    <w:rsid w:val="4AD543B2"/>
    <w:rsid w:val="4DCA28A7"/>
    <w:rsid w:val="52701193"/>
    <w:rsid w:val="538C1035"/>
    <w:rsid w:val="54612F73"/>
    <w:rsid w:val="6AD76A29"/>
    <w:rsid w:val="6F687AFF"/>
    <w:rsid w:val="71AF3790"/>
    <w:rsid w:val="7996686B"/>
    <w:rsid w:val="7EC12A73"/>
    <w:rsid w:val="7ECC6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仿宋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sz w:val="24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2"/>
    <w:basedOn w:val="1"/>
    <w:next w:val="1"/>
    <w:unhideWhenUsed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uiPriority w:val="0"/>
    <w:rPr>
      <w:rFonts w:cs="仿宋"/>
      <w:kern w:val="2"/>
      <w:sz w:val="18"/>
      <w:szCs w:val="18"/>
    </w:rPr>
  </w:style>
  <w:style w:type="character" w:customStyle="1" w:styleId="11">
    <w:name w:val="页脚 Char"/>
    <w:basedOn w:val="9"/>
    <w:link w:val="4"/>
    <w:qFormat/>
    <w:uiPriority w:val="0"/>
    <w:rPr>
      <w:rFonts w:cs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554</Words>
  <Characters>3161</Characters>
  <Lines>26</Lines>
  <Paragraphs>7</Paragraphs>
  <TotalTime>44</TotalTime>
  <ScaleCrop>false</ScaleCrop>
  <LinksUpToDate>false</LinksUpToDate>
  <CharactersWithSpaces>3708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2021-11-01T05:45:00Z</dcterms:created>
  <dc:creator>和为贵</dc:creator>
  <cp:lastModifiedBy>丽英</cp:lastModifiedBy>
  <cp:lastPrinted>2021-11-01T06:31:00Z</cp:lastPrinted>
  <dcterms:modified xsi:type="dcterms:W3CDTF">2022-07-19T03:19:26Z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9F012326B36D4ACF9D67469453F9EA84</vt:lpwstr>
  </property>
</Properties>
</file>