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湖北宜达鲜农副产品有限公司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湖北宜达鲜农副产品有限公司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洪山区青菱乡张家湾特一号海鲜大市场鲜肉1区19号商铺</w:t>
            </w:r>
            <w:bookmarkEnd w:id="6"/>
          </w:p>
        </w:tc>
        <w:tc>
          <w:tcPr>
            <w:tcW w:w="1242" w:type="dxa"/>
            <w:vMerge w:val="restart"/>
            <w:vAlign w:val="center"/>
          </w:tcPr>
          <w:p>
            <w:r>
              <w:rPr>
                <w:rFonts w:hint="eastAsia"/>
              </w:rPr>
              <w:t>邮编</w:t>
            </w:r>
          </w:p>
        </w:tc>
        <w:tc>
          <w:tcPr>
            <w:tcW w:w="1771" w:type="dxa"/>
          </w:tcPr>
          <w:p>
            <w:bookmarkStart w:id="7" w:name="注册邮编"/>
            <w:r>
              <w:t>430072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湖北省武汉市洪山区青菱乡张家湾特一号海鲜大市场鲜肉1区19号商铺</w:t>
            </w:r>
            <w:bookmarkEnd w:id="8"/>
          </w:p>
        </w:tc>
        <w:tc>
          <w:tcPr>
            <w:tcW w:w="1242" w:type="dxa"/>
            <w:vMerge w:val="continue"/>
            <w:vAlign w:val="center"/>
          </w:tcPr>
          <w:p/>
        </w:tc>
        <w:tc>
          <w:tcPr>
            <w:tcW w:w="1771" w:type="dxa"/>
          </w:tcPr>
          <w:p>
            <w:bookmarkStart w:id="9" w:name="办公邮编"/>
            <w:r>
              <w:t>430072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施玉林</w:t>
            </w:r>
            <w:bookmarkEnd w:id="10"/>
          </w:p>
        </w:tc>
        <w:tc>
          <w:tcPr>
            <w:tcW w:w="1313" w:type="dxa"/>
            <w:vAlign w:val="center"/>
          </w:tcPr>
          <w:p>
            <w:r>
              <w:rPr>
                <w:rFonts w:hint="eastAsia"/>
              </w:rPr>
              <w:t>电话.</w:t>
            </w:r>
          </w:p>
        </w:tc>
        <w:tc>
          <w:tcPr>
            <w:tcW w:w="2180" w:type="dxa"/>
            <w:vAlign w:val="center"/>
          </w:tcPr>
          <w:p>
            <w:bookmarkStart w:id="11" w:name="联系人电话"/>
            <w:r>
              <w:t>15927554531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施玉林</w:t>
            </w:r>
            <w:bookmarkEnd w:id="13"/>
          </w:p>
        </w:tc>
        <w:tc>
          <w:tcPr>
            <w:tcW w:w="1313" w:type="dxa"/>
            <w:vAlign w:val="center"/>
          </w:tcPr>
          <w:p>
            <w:r>
              <w:rPr>
                <w:rFonts w:hint="eastAsia"/>
              </w:rPr>
              <w:t>管理者代表</w:t>
            </w:r>
          </w:p>
        </w:tc>
        <w:tc>
          <w:tcPr>
            <w:tcW w:w="2180" w:type="dxa"/>
          </w:tcPr>
          <w:p>
            <w:bookmarkStart w:id="14" w:name="管理者代表"/>
            <w:r>
              <w:t>秦建峰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w:t>
            </w:r>
            <w:r>
              <w:rPr>
                <w:rFonts w:hint="eastAsia"/>
              </w:rPr>
              <w:sym w:font="Wingdings 2" w:char="0052"/>
            </w:r>
            <w:r>
              <w:rPr>
                <w:rFonts w:hint="eastAsia"/>
              </w:rPr>
              <w:t>双班□三班□其他</w:t>
            </w:r>
          </w:p>
          <w:p>
            <w:pPr>
              <w:rPr>
                <w:rFonts w:hint="eastAsia"/>
                <w:lang w:val="en-US" w:eastAsia="zh-CN"/>
              </w:rPr>
            </w:pPr>
            <w:r>
              <w:rPr>
                <w:rFonts w:hint="eastAsia"/>
                <w:lang w:val="en-US" w:eastAsia="zh-CN"/>
              </w:rPr>
              <w:t>工作时间分为两班,晚班1：00-9：00，主要工作为收货及送货；白班8：00-18：00，主要工作内容为接受下游客户订单，向上游供方下订单，接受客户拜访、拜访客户及收款、整理账务等。</w:t>
            </w:r>
          </w:p>
          <w:p>
            <w:pPr>
              <w:pStyle w:val="14"/>
              <w:rPr>
                <w:rFonts w:hint="default"/>
                <w:lang w:val="en-US"/>
              </w:rPr>
            </w:pPr>
            <w:r>
              <w:rPr>
                <w:rFonts w:hint="eastAsia"/>
                <w:lang w:val="en-US" w:eastAsia="zh-CN"/>
              </w:rPr>
              <w:t>审核组审核时间8：30-17：30；审核覆盖企业运行全过程。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宋体" w:hAnsi="宋体" w:cs="宋体"/>
                <w:b/>
                <w:bCs/>
                <w:sz w:val="24"/>
              </w:rPr>
            </w:pPr>
            <w:r>
              <w:rPr>
                <w:rFonts w:hint="eastAsia" w:ascii="宋体" w:hAnsi="宋体" w:cs="宋体"/>
                <w:b/>
                <w:bCs/>
                <w:sz w:val="24"/>
              </w:rPr>
              <w:t>客户订单→合同评审→签订合同→确认订单→实施采购→进货检验→发货→交付客户→售后服务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2022年07月19日 上午至2022年07月20日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湖北省武汉市洪山区青菱乡张家湾特一号海鲜大市场鲜肉1区19号商铺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Q：预包装食品销售（含冷藏冷冻食品）</w:t>
            </w:r>
          </w:p>
          <w:p>
            <w:r>
              <w:t>E：预包装食品销售（含冷藏冷冻食品） 所涉及场所的相关环境管理活动</w:t>
            </w:r>
          </w:p>
          <w:p>
            <w:pPr>
              <w:rPr>
                <w:rFonts w:hint="eastAsia" w:eastAsia="宋体"/>
                <w:lang w:val="en-US" w:eastAsia="zh-CN"/>
              </w:rPr>
            </w:pPr>
            <w:r>
              <w:t>O：预包装食品销售（含冷藏冷冻食品）所涉及场所的相关职业健康安全管理活</w:t>
            </w:r>
            <w:bookmarkEnd w:id="29"/>
            <w:r>
              <w:rPr>
                <w:rFonts w:hint="eastAsia"/>
                <w:lang w:val="en-US" w:eastAsia="zh-CN"/>
              </w:rPr>
              <w:t>动</w:t>
            </w:r>
            <w:bookmarkStart w:id="34" w:name="_GoBack"/>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Q：29.07.01;29.07.02;29.07.03</w:t>
            </w:r>
          </w:p>
          <w:p>
            <w:r>
              <w:t>E：29.07.01;29.07.02;29.07.03</w:t>
            </w:r>
          </w:p>
          <w:p>
            <w:r>
              <w:t>O：29.07.01;29.07.02;29.07.03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color w:val="000000"/>
              </w:rPr>
              <w:t>湖北宜达鲜农副产品有限公司</w:t>
            </w:r>
            <w:r>
              <w:rPr>
                <w:rFonts w:hint="eastAsia"/>
                <w:color w:val="000000"/>
                <w:lang w:eastAsia="zh-CN"/>
              </w:rPr>
              <w:t>；</w:t>
            </w:r>
            <w:r>
              <w:rPr>
                <w:rFonts w:hint="eastAsia"/>
                <w:color w:val="000000"/>
              </w:rPr>
              <w:t>洪山区青菱乡张家湾特一号海鲜大市场鲜肉1区19号商铺</w:t>
            </w:r>
          </w:p>
        </w:tc>
        <w:tc>
          <w:tcPr>
            <w:tcW w:w="2267" w:type="dxa"/>
            <w:vAlign w:val="top"/>
          </w:tcPr>
          <w:p>
            <w:pPr>
              <w:spacing w:before="40" w:after="40"/>
              <w:rPr>
                <w:lang w:val="de-DE" w:eastAsia="ja-JP"/>
              </w:rPr>
            </w:pPr>
            <w:r>
              <w:rPr>
                <w:rFonts w:hint="eastAsia"/>
                <w:color w:val="000000"/>
              </w:rPr>
              <w:t>洪山区青菱乡张家湾特一号海鲜大市场鲜肉1区19号商铺</w:t>
            </w:r>
          </w:p>
        </w:tc>
        <w:tc>
          <w:tcPr>
            <w:tcW w:w="571" w:type="dxa"/>
            <w:vAlign w:val="center"/>
          </w:tcPr>
          <w:p>
            <w:pPr>
              <w:spacing w:before="40" w:after="40"/>
              <w:rPr>
                <w:lang w:eastAsia="ja-JP"/>
              </w:rPr>
            </w:pPr>
            <w:r>
              <w:rPr>
                <w:rFonts w:hint="eastAsia" w:eastAsia="黑体"/>
                <w:szCs w:val="21"/>
                <w:lang w:val="en-US" w:eastAsia="zh-CN"/>
              </w:rPr>
              <w:t>8</w:t>
            </w:r>
          </w:p>
        </w:tc>
        <w:tc>
          <w:tcPr>
            <w:tcW w:w="2803" w:type="dxa"/>
            <w:vAlign w:val="center"/>
          </w:tcPr>
          <w:p>
            <w:pPr>
              <w:spacing w:line="240" w:lineRule="auto"/>
            </w:pPr>
            <w:r>
              <w:t>Q：预包装食品销售（含冷藏冷冻食品）</w:t>
            </w:r>
          </w:p>
          <w:p>
            <w:pPr>
              <w:spacing w:line="240" w:lineRule="auto"/>
            </w:pPr>
            <w:r>
              <w:t>E：预包装食品销售（含冷藏冷冻食品） 所涉及场所的相关环境管理活动</w:t>
            </w:r>
          </w:p>
          <w:p>
            <w:pPr>
              <w:spacing w:line="240" w:lineRule="auto"/>
              <w:rPr>
                <w:color w:val="000000"/>
                <w:szCs w:val="21"/>
              </w:rPr>
            </w:pPr>
            <w:r>
              <w:t>O：预包装食品销售（含冷藏冷冻食品）所涉及场所的相关职业健康安全管理活</w:t>
            </w:r>
            <w:r>
              <w:rPr>
                <w:rFonts w:hint="eastAsia"/>
                <w:color w:val="000000"/>
                <w:szCs w:val="21"/>
              </w:rPr>
              <w:t>；</w:t>
            </w:r>
          </w:p>
          <w:p>
            <w:pPr>
              <w:pStyle w:val="22"/>
              <w:rPr>
                <w:lang w:eastAsia="ja-JP"/>
              </w:rPr>
            </w:pPr>
          </w:p>
        </w:tc>
        <w:tc>
          <w:tcPr>
            <w:tcW w:w="669" w:type="dxa"/>
            <w:vAlign w:val="center"/>
          </w:tcPr>
          <w:p>
            <w:pPr>
              <w:spacing w:before="40" w:after="40"/>
              <w:rPr>
                <w:lang w:eastAsia="ja-JP"/>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w:t>
            </w:r>
            <w:r>
              <w:rPr>
                <w:rFonts w:hint="eastAsia" w:ascii="宋体" w:hAnsi="宋体" w:eastAsia="宋体" w:cs="Times New Roman"/>
                <w:b/>
                <w:color w:val="000000"/>
                <w:szCs w:val="21"/>
                <w:lang w:val="de-DE"/>
              </w:rPr>
              <w:t>16</w:t>
            </w:r>
            <w:r>
              <w:rPr>
                <w:rFonts w:hint="eastAsia" w:ascii="宋体" w:hAnsi="宋体" w:eastAsia="宋体" w:cs="Times New Roman"/>
                <w:b/>
                <w:color w:val="000000"/>
                <w:szCs w:val="21"/>
                <w:lang w:val="de-DE" w:eastAsia="zh-CN"/>
              </w:rPr>
              <w:t>；</w:t>
            </w:r>
            <w:r>
              <w:rPr>
                <w:rFonts w:hint="eastAsia" w:ascii="宋体" w:hAnsi="宋体" w:eastAsia="宋体" w:cs="Times New Roman"/>
                <w:b/>
                <w:color w:val="000000"/>
                <w:szCs w:val="21"/>
                <w:lang w:val="de-DE"/>
              </w:rPr>
              <w:t>GB/T45001-2020</w:t>
            </w:r>
            <w:r>
              <w:rPr>
                <w:rFonts w:hint="eastAsia" w:ascii="宋体" w:hAnsi="宋体" w:eastAsia="宋体" w:cs="Times New Roman"/>
                <w:b/>
                <w:color w:val="000000"/>
                <w:szCs w:val="21"/>
                <w:lang w:val="de-DE" w:eastAsia="zh-CN"/>
              </w:rPr>
              <w:t>；</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Q:29.07.01,29.07.02,29.07.03</w:t>
            </w:r>
          </w:p>
          <w:p>
            <w:r>
              <w:t>E:29.07.01,29.07.02,29.07.03</w:t>
            </w:r>
          </w:p>
          <w:p>
            <w:r>
              <w:t>O:29.07.01,29.07.02,29.07.03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于立秋</w:t>
            </w:r>
          </w:p>
        </w:tc>
        <w:tc>
          <w:tcPr>
            <w:tcW w:w="1089" w:type="dxa"/>
            <w:vAlign w:val="center"/>
          </w:tcPr>
          <w:p>
            <w:r>
              <w:t>组员</w:t>
            </w:r>
          </w:p>
        </w:tc>
        <w:tc>
          <w:tcPr>
            <w:tcW w:w="711" w:type="dxa"/>
            <w:vAlign w:val="center"/>
          </w:tcPr>
          <w:p>
            <w:r>
              <w:t>女</w:t>
            </w:r>
          </w:p>
        </w:tc>
        <w:tc>
          <w:tcPr>
            <w:tcW w:w="3870" w:type="dxa"/>
            <w:vAlign w:val="center"/>
          </w:tcPr>
          <w:p>
            <w:r>
              <w:t>2021-N1QMS-3084028</w:t>
            </w:r>
          </w:p>
          <w:p>
            <w:r>
              <w:t>2020-N1EMS-5084028</w:t>
            </w:r>
          </w:p>
          <w:p>
            <w:r>
              <w:t>2021-N1OHSMS-3084028</w:t>
            </w:r>
          </w:p>
        </w:tc>
        <w:tc>
          <w:tcPr>
            <w:tcW w:w="2179" w:type="dxa"/>
            <w:vAlign w:val="center"/>
          </w:tcPr>
          <w:p>
            <w:r>
              <w:t>E:29.07.01,29.07.02,29.07.03</w:t>
            </w:r>
          </w:p>
          <w:p>
            <w:r>
              <w:t>O:29.07.01,29.07.02,29.07.03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drawing>
                <wp:anchor distT="0" distB="0" distL="114300" distR="114300" simplePos="0" relativeHeight="251662336" behindDoc="0" locked="0" layoutInCell="1" allowOverlap="1">
                  <wp:simplePos x="0" y="0"/>
                  <wp:positionH relativeFrom="column">
                    <wp:posOffset>-40640</wp:posOffset>
                  </wp:positionH>
                  <wp:positionV relativeFrom="page">
                    <wp:posOffset>360680</wp:posOffset>
                  </wp:positionV>
                  <wp:extent cx="662940" cy="411480"/>
                  <wp:effectExtent l="0" t="0" r="7620" b="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6">
                            <a:clrChange>
                              <a:clrFrom>
                                <a:srgbClr val="CECAC7"/>
                              </a:clrFrom>
                              <a:clrTo>
                                <a:srgbClr val="CECAC7">
                                  <a:alpha val="0"/>
                                </a:srgbClr>
                              </a:clrTo>
                            </a:clrChange>
                          </a:blip>
                          <a:srcRect l="7346" t="10753" r="11560" b="11829"/>
                          <a:stretch>
                            <a:fillRect/>
                          </a:stretch>
                        </pic:blipFill>
                        <pic:spPr>
                          <a:xfrm>
                            <a:off x="0" y="0"/>
                            <a:ext cx="662940" cy="41148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ageBreakBefore w:val="0"/>
              <w:kinsoku/>
              <w:overflowPunct/>
              <w:topLinePunct w:val="0"/>
              <w:bidi w:val="0"/>
              <w:spacing w:line="360" w:lineRule="auto"/>
              <w:ind w:firstLine="420" w:firstLineChars="200"/>
              <w:rPr>
                <w:rFonts w:hint="eastAsia"/>
                <w:color w:val="000000"/>
                <w:szCs w:val="18"/>
              </w:rPr>
            </w:pPr>
            <w:r>
              <w:rPr>
                <w:rFonts w:hint="eastAsia"/>
                <w:color w:val="000000"/>
                <w:szCs w:val="18"/>
              </w:rPr>
              <w:t>遵守法律法规，确保</w:t>
            </w:r>
            <w:r>
              <w:rPr>
                <w:rFonts w:hint="eastAsia"/>
                <w:color w:val="000000"/>
                <w:szCs w:val="18"/>
                <w:lang w:val="en-US" w:eastAsia="zh-CN"/>
              </w:rPr>
              <w:t>产品</w:t>
            </w:r>
            <w:r>
              <w:rPr>
                <w:rFonts w:hint="eastAsia"/>
                <w:color w:val="000000"/>
                <w:szCs w:val="18"/>
              </w:rPr>
              <w:t>质量，预防环境污染,</w:t>
            </w:r>
          </w:p>
          <w:p>
            <w:pPr>
              <w:pageBreakBefore w:val="0"/>
              <w:kinsoku/>
              <w:overflowPunct/>
              <w:topLinePunct w:val="0"/>
              <w:bidi w:val="0"/>
              <w:spacing w:line="360" w:lineRule="auto"/>
              <w:ind w:firstLine="420" w:firstLineChars="200"/>
              <w:rPr>
                <w:rFonts w:hint="eastAsia"/>
                <w:color w:val="000000"/>
                <w:szCs w:val="18"/>
              </w:rPr>
            </w:pPr>
            <w:r>
              <w:rPr>
                <w:rFonts w:hint="eastAsia"/>
                <w:color w:val="000000"/>
                <w:szCs w:val="18"/>
              </w:rPr>
              <w:t>控制安全风险，实施持续改进，追求顾客满意。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color w:val="000000" w:themeColor="text1"/>
                      <w:szCs w:val="21"/>
                      <w:lang w:val="en-US" w:eastAsia="zh-CN"/>
                    </w:rPr>
                    <w:t>市场投标竞争</w:t>
                  </w:r>
                </w:p>
              </w:tc>
              <w:tc>
                <w:tcPr>
                  <w:tcW w:w="3965" w:type="dxa"/>
                </w:tcPr>
                <w:p>
                  <w:pPr>
                    <w:shd w:val="clear" w:color="auto" w:fill="C7DAF1" w:themeFill="text2" w:themeFillTint="32"/>
                    <w:rPr>
                      <w:rFonts w:hint="default" w:eastAsia="宋体"/>
                      <w:lang w:val="en-US" w:eastAsia="zh-CN"/>
                    </w:rPr>
                  </w:pPr>
                  <w:r>
                    <w:rPr>
                      <w:rFonts w:hint="eastAsia"/>
                      <w:color w:val="000000" w:themeColor="text1"/>
                      <w:szCs w:val="21"/>
                      <w:lang w:val="en-US" w:eastAsia="zh-CN"/>
                    </w:rPr>
                    <w:t>建立管理体系</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宋体"/>
                      <w:color w:val="auto"/>
                      <w:kern w:val="0"/>
                      <w:sz w:val="24"/>
                      <w:szCs w:val="24"/>
                      <w:lang w:eastAsia="zh-CN"/>
                    </w:rPr>
                    <w:t>产品</w:t>
                  </w:r>
                  <w:r>
                    <w:rPr>
                      <w:rFonts w:hint="eastAsia" w:ascii="宋体" w:hAnsi="宋体" w:eastAsia="宋体" w:cs="宋体"/>
                      <w:color w:val="auto"/>
                      <w:kern w:val="0"/>
                      <w:sz w:val="24"/>
                      <w:szCs w:val="24"/>
                    </w:rPr>
                    <w:t>及时交付率100%</w:t>
                  </w:r>
                </w:p>
              </w:tc>
              <w:tc>
                <w:tcPr>
                  <w:tcW w:w="3136" w:type="dxa"/>
                  <w:shd w:val="clear" w:color="auto" w:fill="auto"/>
                  <w:vAlign w:val="top"/>
                </w:tcPr>
                <w:p>
                  <w:pPr>
                    <w:widowControl/>
                    <w:spacing w:before="40"/>
                    <w:jc w:val="left"/>
                    <w:rPr>
                      <w:rFonts w:hint="eastAsia" w:eastAsia="宋体"/>
                      <w:lang w:val="en-US" w:eastAsia="zh-CN"/>
                    </w:rPr>
                  </w:pPr>
                  <w:r>
                    <w:rPr>
                      <w:rFonts w:hint="eastAsia" w:ascii="宋体" w:hAnsi="宋体" w:eastAsia="宋体" w:cs="宋体"/>
                      <w:i w:val="0"/>
                      <w:color w:val="000000"/>
                      <w:kern w:val="0"/>
                      <w:sz w:val="21"/>
                      <w:szCs w:val="21"/>
                      <w:u w:val="none"/>
                      <w:lang w:val="en-US" w:eastAsia="zh-CN" w:bidi="ar"/>
                    </w:rPr>
                    <w:t>（产品及时交付数/产品交付总数）×100％</w:t>
                  </w:r>
                </w:p>
              </w:tc>
              <w:tc>
                <w:tcPr>
                  <w:tcW w:w="1350" w:type="dxa"/>
                  <w:shd w:val="clear" w:color="auto" w:fill="auto"/>
                  <w:vAlign w:val="center"/>
                </w:tcPr>
                <w:p>
                  <w:pPr>
                    <w:shd w:val="clear" w:color="auto" w:fill="C7DAF1" w:themeFill="text2" w:themeFillTint="32"/>
                    <w:rPr>
                      <w:lang w:val="en-GB"/>
                    </w:rPr>
                  </w:pPr>
                  <w:r>
                    <w:rPr>
                      <w:rFonts w:hint="eastAsia"/>
                      <w:color w:val="000000" w:themeColor="text1"/>
                      <w:szCs w:val="21"/>
                      <w:lang w:val="en-US" w:eastAsia="zh-CN"/>
                    </w:rPr>
                    <w:t xml:space="preserve">销售部 </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color w:val="000000" w:themeColor="text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宋体"/>
                      <w:i w:val="0"/>
                      <w:color w:val="000000"/>
                      <w:kern w:val="0"/>
                      <w:sz w:val="21"/>
                      <w:szCs w:val="21"/>
                      <w:u w:val="none"/>
                      <w:lang w:val="en-US" w:eastAsia="zh-CN" w:bidi="ar"/>
                    </w:rPr>
                    <w:t>顾客满意度</w:t>
                  </w:r>
                  <w:r>
                    <w:rPr>
                      <w:rStyle w:val="26"/>
                      <w:lang w:val="en-US" w:eastAsia="zh-CN" w:bidi="ar"/>
                    </w:rPr>
                    <w:t>≥90分</w:t>
                  </w:r>
                </w:p>
              </w:tc>
              <w:tc>
                <w:tcPr>
                  <w:tcW w:w="3136" w:type="dxa"/>
                  <w:shd w:val="clear" w:color="auto" w:fill="auto"/>
                  <w:vAlign w:val="top"/>
                </w:tcPr>
                <w:p>
                  <w:pPr>
                    <w:widowControl/>
                    <w:spacing w:before="40"/>
                    <w:jc w:val="left"/>
                    <w:rPr>
                      <w:rFonts w:ascii="宋体" w:hAnsi="宋体"/>
                    </w:rPr>
                  </w:pPr>
                  <w:r>
                    <w:rPr>
                      <w:rFonts w:hint="eastAsia" w:ascii="宋体" w:hAnsi="宋体" w:eastAsia="宋体" w:cs="宋体"/>
                      <w:i w:val="0"/>
                      <w:color w:val="000000"/>
                      <w:kern w:val="0"/>
                      <w:sz w:val="21"/>
                      <w:szCs w:val="21"/>
                      <w:u w:val="none"/>
                      <w:lang w:val="en-US" w:eastAsia="zh-CN" w:bidi="ar"/>
                    </w:rPr>
                    <w:t>（顾客满意度调查分数/满意度调查总分）×100％</w:t>
                  </w:r>
                </w:p>
              </w:tc>
              <w:tc>
                <w:tcPr>
                  <w:tcW w:w="1350" w:type="dxa"/>
                  <w:shd w:val="clear" w:color="auto" w:fill="auto"/>
                  <w:vAlign w:val="center"/>
                </w:tcPr>
                <w:p>
                  <w:pPr>
                    <w:shd w:val="clear" w:color="auto" w:fill="C7DAF1" w:themeFill="text2" w:themeFillTint="32"/>
                    <w:rPr>
                      <w:rFonts w:ascii="宋体" w:hAnsi="宋体"/>
                    </w:rPr>
                  </w:pPr>
                  <w:r>
                    <w:rPr>
                      <w:rFonts w:hint="eastAsia"/>
                      <w:color w:val="000000" w:themeColor="text1"/>
                      <w:szCs w:val="21"/>
                      <w:lang w:val="en-US" w:eastAsia="zh-CN"/>
                    </w:rPr>
                    <w:t xml:space="preserve">销售部 </w:t>
                  </w:r>
                </w:p>
              </w:tc>
              <w:tc>
                <w:tcPr>
                  <w:tcW w:w="1774" w:type="dxa"/>
                  <w:shd w:val="clear" w:color="auto" w:fill="auto"/>
                  <w:vAlign w:val="center"/>
                </w:tcPr>
                <w:p>
                  <w:pPr>
                    <w:shd w:val="clear" w:color="auto" w:fill="C7DAF1" w:themeFill="text2" w:themeFillTint="32"/>
                    <w:jc w:val="center"/>
                    <w:rPr>
                      <w:rFonts w:hint="default" w:ascii="宋体" w:hAnsi="宋体"/>
                      <w:lang w:val="en-US"/>
                    </w:rPr>
                  </w:pPr>
                  <w:r>
                    <w:rPr>
                      <w:rFonts w:hint="eastAsia"/>
                      <w:color w:val="000000" w:themeColor="text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35</w:t>
            </w:r>
            <w:r>
              <w:rPr>
                <w:rFonts w:hint="eastAsia"/>
              </w:rPr>
              <w:t>平方米；生产车间个；</w:t>
            </w:r>
            <w:r>
              <w:rPr>
                <w:rFonts w:hint="eastAsia"/>
                <w:lang w:val="en-US" w:eastAsia="zh-CN"/>
              </w:rPr>
              <w:t>冷</w:t>
            </w:r>
            <w:r>
              <w:rPr>
                <w:rFonts w:hint="eastAsia"/>
              </w:rPr>
              <w:t>库</w:t>
            </w:r>
            <w:r>
              <w:rPr>
                <w:rFonts w:hint="eastAsia"/>
                <w:lang w:val="en-US" w:eastAsia="zh-CN"/>
              </w:rPr>
              <w:t>1</w:t>
            </w:r>
            <w:r>
              <w:rPr>
                <w:rFonts w:hint="eastAsia"/>
              </w:rPr>
              <w:t>个；实验室个；</w:t>
            </w:r>
          </w:p>
          <w:p>
            <w:pPr>
              <w:shd w:val="clear" w:color="auto" w:fill="C7DAF1" w:themeFill="text2" w:themeFillTint="32"/>
              <w:rPr>
                <w:rFonts w:hint="default"/>
                <w:u w:val="single"/>
                <w:lang w:val="en-US"/>
              </w:rPr>
            </w:pPr>
            <w:r>
              <w:rPr>
                <w:rFonts w:hint="eastAsia"/>
              </w:rPr>
              <w:t>主要生产设备有：</w:t>
            </w:r>
            <w:r>
              <w:rPr>
                <w:rFonts w:hint="eastAsia"/>
                <w:sz w:val="24"/>
                <w:szCs w:val="24"/>
                <w:lang w:val="en-US" w:eastAsia="zh-CN"/>
              </w:rPr>
              <w:t>空调、电脑、打印机、冷藏车（4米2）、依维柯</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sz w:val="24"/>
                <w:szCs w:val="24"/>
                <w:lang w:val="en-US" w:eastAsia="zh-CN"/>
              </w:rPr>
              <w:t>主要的监视测量工具为4合一报警仪，防爆手机、激光测距仪等（均为受审查企业提供）；</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电子秤</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A3"/>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A3"/>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rFonts w:hint="eastAsia"/>
              </w:rPr>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不适用</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ascii="宋体" w:hAnsi="宋体"/>
                <w:b w:val="0"/>
                <w:bCs/>
                <w:sz w:val="24"/>
                <w:szCs w:val="24"/>
                <w:lang w:val="en-US" w:eastAsia="zh-CN"/>
              </w:rPr>
              <w:t>《食品经营许可管理办法》，《食品安全国家标准鲜（冻）畜、禽产品GB2707-2016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A3"/>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lang w:val="en-US" w:eastAsia="zh-CN"/>
              </w:rPr>
              <w:t>销售过程</w:t>
            </w:r>
            <w:r>
              <w:rPr>
                <w:rFonts w:hint="eastAsia"/>
                <w:highlight w:val="none"/>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highlight w:val="none"/>
              </w:rPr>
              <w:t>组织在生产和</w:t>
            </w:r>
            <w:r>
              <w:rPr>
                <w:rFonts w:hint="eastAsia"/>
              </w:rPr>
              <w:t>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记录表格</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组织应满足与产</w:t>
            </w:r>
            <w:r>
              <w:rPr>
                <w:rFonts w:hint="eastAsia"/>
              </w:rPr>
              <w:t>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合同约定</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组织在适当阶段实</w:t>
            </w:r>
            <w:r>
              <w:rPr>
                <w:rFonts w:hint="eastAsia"/>
              </w:rPr>
              <w:t>施策划的安排，以验证产品和服务的要求已得到满足。</w:t>
            </w:r>
          </w:p>
          <w:p>
            <w:pPr>
              <w:shd w:val="clear" w:color="auto" w:fill="C7DAF1" w:themeFill="text2" w:themeFillTint="32"/>
              <w:rPr>
                <w:rFonts w:hint="eastAsia"/>
              </w:rPr>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A3"/>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pageBreakBefore w:val="0"/>
              <w:kinsoku/>
              <w:overflowPunct/>
              <w:topLinePunct w:val="0"/>
              <w:bidi w:val="0"/>
              <w:spacing w:line="360" w:lineRule="auto"/>
              <w:ind w:firstLine="420" w:firstLineChars="200"/>
              <w:rPr>
                <w:rFonts w:hint="eastAsia"/>
                <w:color w:val="000000"/>
                <w:szCs w:val="18"/>
              </w:rPr>
            </w:pPr>
            <w:r>
              <w:rPr>
                <w:rFonts w:hint="eastAsia"/>
                <w:color w:val="000000"/>
                <w:szCs w:val="18"/>
              </w:rPr>
              <w:t>遵守法律法规，确保</w:t>
            </w:r>
            <w:r>
              <w:rPr>
                <w:rFonts w:hint="eastAsia"/>
                <w:color w:val="000000"/>
                <w:szCs w:val="18"/>
                <w:lang w:val="en-US" w:eastAsia="zh-CN"/>
              </w:rPr>
              <w:t>产品</w:t>
            </w:r>
            <w:r>
              <w:rPr>
                <w:rFonts w:hint="eastAsia"/>
                <w:color w:val="000000"/>
                <w:szCs w:val="18"/>
              </w:rPr>
              <w:t>质量，预防环境污染,</w:t>
            </w:r>
          </w:p>
          <w:p>
            <w:pPr>
              <w:pageBreakBefore w:val="0"/>
              <w:kinsoku/>
              <w:overflowPunct/>
              <w:topLinePunct w:val="0"/>
              <w:bidi w:val="0"/>
              <w:spacing w:line="360" w:lineRule="auto"/>
              <w:ind w:firstLine="420" w:firstLineChars="200"/>
              <w:rPr>
                <w:rFonts w:hint="eastAsia"/>
                <w:color w:val="000000"/>
                <w:szCs w:val="18"/>
              </w:rPr>
            </w:pPr>
            <w:r>
              <w:rPr>
                <w:rFonts w:hint="eastAsia"/>
                <w:color w:val="000000"/>
                <w:szCs w:val="18"/>
              </w:rPr>
              <w:t>控制安全风险，实施持续改进，追求顾客满意。</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bCs/>
                      <w:sz w:val="24"/>
                      <w:szCs w:val="24"/>
                    </w:rPr>
                  </w:pPr>
                  <w:r>
                    <w:rPr>
                      <w:rFonts w:hint="eastAsia" w:ascii="宋体" w:hAnsi="宋体" w:cs="宋体"/>
                      <w:bCs/>
                      <w:sz w:val="24"/>
                      <w:szCs w:val="24"/>
                    </w:rPr>
                    <w:t>固体废弃物处理，潜在火灾事故发生。</w:t>
                  </w:r>
                </w:p>
                <w:p>
                  <w:pPr>
                    <w:shd w:val="clear" w:color="auto" w:fill="EBF1DE" w:themeFill="accent3" w:themeFillTint="32"/>
                  </w:pPr>
                  <w:r>
                    <w:rPr>
                      <w:rFonts w:hint="eastAsia"/>
                    </w:rPr>
                    <w:tab/>
                  </w:r>
                </w:p>
              </w:tc>
              <w:tc>
                <w:tcPr>
                  <w:tcW w:w="3965" w:type="dxa"/>
                </w:tcPr>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1.执行环境/职业健康安全管理方案；</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2.建立废弃物处理控制程序；</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3.建立火灾应急预案；</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4.加强员工教育。</w:t>
                  </w:r>
                </w:p>
                <w:p>
                  <w:pPr>
                    <w:shd w:val="clear" w:color="auto" w:fill="EBF1DE" w:themeFill="accent3" w:themeFillTint="32"/>
                  </w:pPr>
                </w:p>
              </w:tc>
              <w:tc>
                <w:tcPr>
                  <w:tcW w:w="1717" w:type="dxa"/>
                </w:tcPr>
                <w:p>
                  <w:pPr>
                    <w:shd w:val="clear" w:color="auto" w:fill="EBF1DE" w:themeFill="accent3" w:themeFillTint="32"/>
                  </w:pPr>
                  <w:r>
                    <w:rPr>
                      <w:rFonts w:hint="eastAsia"/>
                    </w:rPr>
                    <w:tab/>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i w:val="0"/>
                      <w:color w:val="000000"/>
                      <w:kern w:val="0"/>
                      <w:sz w:val="21"/>
                      <w:szCs w:val="21"/>
                      <w:u w:val="none"/>
                      <w:lang w:val="en-US" w:eastAsia="zh-CN" w:bidi="ar"/>
                    </w:rPr>
                    <w:t>固废分类回收处理率100%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办公用品</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highlight w:val="none"/>
              </w:rPr>
              <w:t>组织的生产和服务提供流程图（见第三条款）</w:t>
            </w:r>
            <w:r>
              <w:rPr>
                <w:rFonts w:hint="eastAsia"/>
              </w:rPr>
              <w:t>，企业环境因素控制情况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w:t>
                  </w:r>
                </w:p>
              </w:tc>
              <w:tc>
                <w:tcPr>
                  <w:tcW w:w="3265" w:type="dxa"/>
                </w:tcPr>
                <w:p>
                  <w:pPr>
                    <w:shd w:val="clear" w:color="auto" w:fill="EBF1DE" w:themeFill="accent3" w:themeFillTint="32"/>
                    <w:jc w:val="left"/>
                  </w:pPr>
                  <w:r>
                    <w:rPr>
                      <w:rFonts w:hint="eastAsia" w:ascii="楷体" w:hAnsi="楷体" w:eastAsia="楷体" w:cs="楷体"/>
                      <w:sz w:val="24"/>
                      <w:szCs w:val="24"/>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管理方案/运行控制/应急预案</w:t>
                  </w:r>
                </w:p>
              </w:tc>
              <w:tc>
                <w:tcPr>
                  <w:tcW w:w="3265" w:type="dxa"/>
                </w:tcPr>
                <w:p>
                  <w:pPr>
                    <w:shd w:val="clear" w:color="auto" w:fill="EBF1DE" w:themeFill="accent3" w:themeFillTint="32"/>
                    <w:jc w:val="left"/>
                  </w:pPr>
                  <w:r>
                    <w:rPr>
                      <w:rFonts w:hint="eastAsia" w:ascii="楷体" w:hAnsi="楷体" w:eastAsia="楷体" w:cs="楷体"/>
                      <w:sz w:val="24"/>
                      <w:szCs w:val="24"/>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rPr>
              <w:t>、</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ageBreakBefore w:val="0"/>
              <w:kinsoku/>
              <w:overflowPunct/>
              <w:topLinePunct w:val="0"/>
              <w:bidi w:val="0"/>
              <w:spacing w:line="360" w:lineRule="auto"/>
              <w:ind w:firstLine="420" w:firstLineChars="200"/>
              <w:rPr>
                <w:rFonts w:hint="eastAsia"/>
                <w:color w:val="000000"/>
                <w:szCs w:val="18"/>
              </w:rPr>
            </w:pPr>
            <w:r>
              <w:rPr>
                <w:rFonts w:hint="eastAsia"/>
                <w:color w:val="000000"/>
                <w:szCs w:val="18"/>
              </w:rPr>
              <w:t>遵守法律法规，确保</w:t>
            </w:r>
            <w:r>
              <w:rPr>
                <w:rFonts w:hint="eastAsia"/>
                <w:color w:val="000000"/>
                <w:szCs w:val="18"/>
                <w:lang w:val="en-US" w:eastAsia="zh-CN"/>
              </w:rPr>
              <w:t>产品</w:t>
            </w:r>
            <w:r>
              <w:rPr>
                <w:rFonts w:hint="eastAsia"/>
                <w:color w:val="000000"/>
                <w:szCs w:val="18"/>
              </w:rPr>
              <w:t>质量，预防环境污染,</w:t>
            </w:r>
          </w:p>
          <w:p>
            <w:pPr>
              <w:ind w:firstLine="420" w:firstLineChars="200"/>
              <w:rPr>
                <w:u w:val="single"/>
              </w:rPr>
            </w:pPr>
            <w:r>
              <w:rPr>
                <w:rFonts w:hint="eastAsia"/>
                <w:color w:val="000000"/>
                <w:szCs w:val="18"/>
              </w:rPr>
              <w:t>控制安全风险，实施持续改进，追求顾客满意</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管理层</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ascii="宋体" w:hAnsi="宋体" w:cs="宋体"/>
                <w:sz w:val="24"/>
                <w:u w:val="single"/>
                <w:lang w:val="en-US" w:eastAsia="zh-CN"/>
              </w:rPr>
              <w:t>杨雄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pPr>
                  <w:r>
                    <w:rPr>
                      <w:rFonts w:hint="eastAsia" w:ascii="宋体" w:hAnsi="宋体"/>
                      <w:bCs/>
                      <w:sz w:val="24"/>
                      <w:szCs w:val="24"/>
                    </w:rPr>
                    <w:t>火灾事故、交通事故、触电事故、新冠</w:t>
                  </w:r>
                  <w:r>
                    <w:rPr>
                      <w:rFonts w:hint="eastAsia" w:ascii="宋体" w:hAnsi="宋体"/>
                      <w:bCs/>
                      <w:sz w:val="24"/>
                      <w:szCs w:val="24"/>
                      <w:lang w:val="en-US" w:eastAsia="zh-CN"/>
                    </w:rPr>
                    <w:t>肺炎</w:t>
                  </w:r>
                </w:p>
              </w:tc>
              <w:tc>
                <w:tcPr>
                  <w:tcW w:w="3965" w:type="dxa"/>
                </w:tcPr>
                <w:p>
                  <w:pPr>
                    <w:rPr>
                      <w:rFonts w:hint="default" w:eastAsia="宋体"/>
                      <w:lang w:val="en-US" w:eastAsia="zh-CN"/>
                    </w:rPr>
                  </w:pPr>
                  <w:r>
                    <w:rPr>
                      <w:rFonts w:hint="eastAsia"/>
                      <w:color w:val="000000" w:themeColor="text1"/>
                      <w:szCs w:val="21"/>
                      <w:lang w:val="en-US" w:eastAsia="zh-CN"/>
                    </w:rPr>
                    <w:t>管理方案、运行控制、应急预案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highlight w:val="none"/>
              </w:rPr>
              <w:t>不可接受危险源包括(必要时，按</w:t>
            </w:r>
            <w:r>
              <w:rPr>
                <w:rFonts w:hint="eastAsia"/>
              </w:rPr>
              <w:t>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w:t>
            </w:r>
            <w:r>
              <w:rPr>
                <w:rFonts w:hint="eastAsia"/>
              </w:rPr>
              <w:sym w:font="Wingdings 2" w:char="00A3"/>
            </w:r>
            <w:r>
              <w:rPr>
                <w:rFonts w:hint="eastAsia"/>
              </w:rPr>
              <w:t>化学伤害□噪声□粉尘□危险作业□高低温</w:t>
            </w:r>
            <w:r>
              <w:rPr>
                <w:rFonts w:hint="eastAsia"/>
              </w:rPr>
              <w:sym w:font="Wingdings 2" w:char="00A3"/>
            </w:r>
            <w:r>
              <w:rPr>
                <w:rFonts w:hint="eastAsia"/>
              </w:rPr>
              <w:t>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highlight w:val="none"/>
              </w:rPr>
              <w:t>组织策划并采取措施应对职业健康安</w:t>
            </w:r>
            <w:r>
              <w:rPr>
                <w:rFonts w:hint="eastAsia"/>
              </w:rPr>
              <w:t>全风险和机会、法律法规和其他要求和准备和响应紧急情况；</w:t>
            </w:r>
          </w:p>
          <w:p>
            <w:r>
              <w:rPr>
                <w:rFonts w:hint="eastAsia"/>
              </w:rPr>
              <w:t>□安全装置□除尘设备□漏电保护</w:t>
            </w:r>
            <w:r>
              <w:rPr>
                <w:rFonts w:hint="eastAsia"/>
              </w:rPr>
              <w:sym w:font="Wingdings 2" w:char="00A3"/>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highlight w:val="none"/>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宋体"/>
                      <w:i w:val="0"/>
                      <w:color w:val="000000"/>
                      <w:kern w:val="0"/>
                      <w:sz w:val="21"/>
                      <w:szCs w:val="21"/>
                      <w:u w:val="none"/>
                      <w:lang w:val="en-US" w:eastAsia="zh-CN" w:bidi="ar"/>
                    </w:rPr>
                    <w:t>火灾、触电事故为0</w:t>
                  </w:r>
                </w:p>
              </w:tc>
              <w:tc>
                <w:tcPr>
                  <w:tcW w:w="3136" w:type="dxa"/>
                  <w:shd w:val="clear" w:color="auto" w:fill="auto"/>
                  <w:vAlign w:val="top"/>
                </w:tcPr>
                <w:p>
                  <w:pPr>
                    <w:widowControl/>
                    <w:spacing w:before="40"/>
                    <w:jc w:val="left"/>
                    <w:rPr>
                      <w:lang w:val="en-GB"/>
                    </w:rPr>
                  </w:pPr>
                  <w:r>
                    <w:rPr>
                      <w:rFonts w:hint="eastAsia" w:ascii="宋体" w:hAnsi="宋体" w:eastAsia="宋体" w:cs="宋体"/>
                      <w:i w:val="0"/>
                      <w:color w:val="000000"/>
                      <w:kern w:val="0"/>
                      <w:sz w:val="21"/>
                      <w:szCs w:val="21"/>
                      <w:u w:val="none"/>
                      <w:lang w:val="en-US" w:eastAsia="zh-CN" w:bidi="ar"/>
                    </w:rPr>
                    <w:t>火灾、触电事故为0</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w:t>
            </w:r>
            <w:r>
              <w:rPr>
                <w:rFonts w:hint="eastAsia"/>
              </w:rPr>
              <w:t>平方米；生产车间个；库房个；实验室个；</w:t>
            </w:r>
          </w:p>
          <w:p>
            <w:pPr>
              <w:rPr>
                <w:rFonts w:hint="eastAsia" w:eastAsia="宋体"/>
                <w:u w:val="single"/>
                <w:lang w:eastAsia="zh-CN"/>
              </w:rPr>
            </w:pPr>
            <w:r>
              <w:rPr>
                <w:rFonts w:hint="eastAsia"/>
              </w:rPr>
              <w:t>主要生产设备有：</w:t>
            </w:r>
            <w:r>
              <w:rPr>
                <w:rFonts w:hint="eastAsia"/>
                <w:u w:val="single"/>
                <w:lang w:val="en-US" w:eastAsia="zh-CN"/>
              </w:rPr>
              <w:t>灭火器</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rPr>
                <w:rFonts w:hint="default" w:eastAsia="宋体"/>
                <w:lang w:val="en-US" w:eastAsia="zh-CN"/>
              </w:rPr>
            </w:pPr>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t>□法律法规获取充分，</w:t>
            </w:r>
            <w:r>
              <w:rPr>
                <w:rFonts w:hint="eastAsia"/>
              </w:rPr>
              <w:sym w:font="Wingdings 2" w:char="0052"/>
            </w:r>
            <w:r>
              <w:rPr>
                <w:rFonts w:hint="eastAsia"/>
              </w:rPr>
              <w:t>法律法规获取有遗漏，缺少：《食品经营许可管理办法》，《食品安全国家标准鲜（冻）畜、禽产品GB2707-2016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A3"/>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highlight w:val="none"/>
              </w:rPr>
              <w:t>组织的生产和服务提供流程图（</w:t>
            </w:r>
            <w:r>
              <w:rPr>
                <w:rFonts w:hint="eastAsia"/>
              </w:rPr>
              <w:t>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A3"/>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A3"/>
                  </w:r>
                  <w:r>
                    <w:rPr>
                      <w:rFonts w:hint="eastAsia"/>
                    </w:rPr>
                    <w:t>定期检测</w:t>
                  </w:r>
                  <w:r>
                    <w:rPr>
                      <w:rFonts w:hint="eastAsia"/>
                    </w:rPr>
                    <w:sym w:font="Wingdings 2" w:char="0052"/>
                  </w:r>
                  <w:r>
                    <w:rPr>
                      <w:rFonts w:hint="eastAsia"/>
                    </w:rPr>
                    <w:t>压力巡视</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楷体" w:hAnsi="楷体" w:eastAsia="楷体" w:cs="楷体"/>
                      <w:sz w:val="24"/>
                      <w:szCs w:val="24"/>
                    </w:rPr>
                    <w:t>执行管理方案、配备消防器材、应急预案</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highlight w:val="none"/>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16</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1D3C27"/>
    <w:rsid w:val="00ED7770"/>
    <w:rsid w:val="01211297"/>
    <w:rsid w:val="039E740C"/>
    <w:rsid w:val="043D5D6E"/>
    <w:rsid w:val="0632424E"/>
    <w:rsid w:val="072A65C1"/>
    <w:rsid w:val="075C3866"/>
    <w:rsid w:val="07AA728C"/>
    <w:rsid w:val="07FF744E"/>
    <w:rsid w:val="0809699C"/>
    <w:rsid w:val="09C514E8"/>
    <w:rsid w:val="0A1F2C88"/>
    <w:rsid w:val="0A6842D0"/>
    <w:rsid w:val="0AAE1F0F"/>
    <w:rsid w:val="0B1E0FFE"/>
    <w:rsid w:val="0B2E5519"/>
    <w:rsid w:val="0B8112D7"/>
    <w:rsid w:val="0C6E79A1"/>
    <w:rsid w:val="0ED40186"/>
    <w:rsid w:val="0FFF56D6"/>
    <w:rsid w:val="104B1058"/>
    <w:rsid w:val="1081336F"/>
    <w:rsid w:val="110E4204"/>
    <w:rsid w:val="11DD6537"/>
    <w:rsid w:val="12861EAF"/>
    <w:rsid w:val="13AB531F"/>
    <w:rsid w:val="162507BA"/>
    <w:rsid w:val="164C4F29"/>
    <w:rsid w:val="17683B61"/>
    <w:rsid w:val="17A80B0A"/>
    <w:rsid w:val="18794651"/>
    <w:rsid w:val="191012EE"/>
    <w:rsid w:val="1B4B4B89"/>
    <w:rsid w:val="1D246635"/>
    <w:rsid w:val="1D2A23AB"/>
    <w:rsid w:val="1DC928BA"/>
    <w:rsid w:val="1E750C1F"/>
    <w:rsid w:val="1E963727"/>
    <w:rsid w:val="1F2529BC"/>
    <w:rsid w:val="1F566050"/>
    <w:rsid w:val="212418BC"/>
    <w:rsid w:val="216D06F2"/>
    <w:rsid w:val="21DD6EFA"/>
    <w:rsid w:val="22151749"/>
    <w:rsid w:val="2234120F"/>
    <w:rsid w:val="22CB777E"/>
    <w:rsid w:val="24464D5F"/>
    <w:rsid w:val="24D3611E"/>
    <w:rsid w:val="258C4EBE"/>
    <w:rsid w:val="26AD43DA"/>
    <w:rsid w:val="281E66E3"/>
    <w:rsid w:val="28793E20"/>
    <w:rsid w:val="291E0523"/>
    <w:rsid w:val="2B433460"/>
    <w:rsid w:val="2B536BAA"/>
    <w:rsid w:val="2B7D7783"/>
    <w:rsid w:val="2BFC21CA"/>
    <w:rsid w:val="2C057C62"/>
    <w:rsid w:val="2CFC5020"/>
    <w:rsid w:val="2DA07759"/>
    <w:rsid w:val="2DC0703A"/>
    <w:rsid w:val="2E8E63B6"/>
    <w:rsid w:val="2F115EA7"/>
    <w:rsid w:val="2F5C1A8B"/>
    <w:rsid w:val="30F836B0"/>
    <w:rsid w:val="31BE28A4"/>
    <w:rsid w:val="321D4E26"/>
    <w:rsid w:val="32270449"/>
    <w:rsid w:val="32603A51"/>
    <w:rsid w:val="329B0691"/>
    <w:rsid w:val="336D4B50"/>
    <w:rsid w:val="33D67296"/>
    <w:rsid w:val="34C04B85"/>
    <w:rsid w:val="35390D61"/>
    <w:rsid w:val="35493EC5"/>
    <w:rsid w:val="35654954"/>
    <w:rsid w:val="35D271A0"/>
    <w:rsid w:val="37117919"/>
    <w:rsid w:val="376D307F"/>
    <w:rsid w:val="37CA01F4"/>
    <w:rsid w:val="37CF02BB"/>
    <w:rsid w:val="38970330"/>
    <w:rsid w:val="391A2AB5"/>
    <w:rsid w:val="39AF7790"/>
    <w:rsid w:val="3A795C57"/>
    <w:rsid w:val="3C1F3252"/>
    <w:rsid w:val="3C423589"/>
    <w:rsid w:val="3E292905"/>
    <w:rsid w:val="3E44312F"/>
    <w:rsid w:val="3E83486D"/>
    <w:rsid w:val="3EF21DDE"/>
    <w:rsid w:val="3FC46A7B"/>
    <w:rsid w:val="40692574"/>
    <w:rsid w:val="40A23F2B"/>
    <w:rsid w:val="4161625E"/>
    <w:rsid w:val="42A61B98"/>
    <w:rsid w:val="42AB61E5"/>
    <w:rsid w:val="44D25F7E"/>
    <w:rsid w:val="44DC3315"/>
    <w:rsid w:val="44F22E34"/>
    <w:rsid w:val="450D7972"/>
    <w:rsid w:val="45AD4CB1"/>
    <w:rsid w:val="45E66071"/>
    <w:rsid w:val="462F574B"/>
    <w:rsid w:val="46EB42D7"/>
    <w:rsid w:val="474653BD"/>
    <w:rsid w:val="47DD3634"/>
    <w:rsid w:val="48C1181D"/>
    <w:rsid w:val="4ADF53D0"/>
    <w:rsid w:val="4AFD1CE2"/>
    <w:rsid w:val="4B6D4365"/>
    <w:rsid w:val="4C07336D"/>
    <w:rsid w:val="4DAF6D39"/>
    <w:rsid w:val="4E73105A"/>
    <w:rsid w:val="4E870C9F"/>
    <w:rsid w:val="4FCD4C3E"/>
    <w:rsid w:val="4FF37764"/>
    <w:rsid w:val="513F5914"/>
    <w:rsid w:val="521E31BF"/>
    <w:rsid w:val="53DA3115"/>
    <w:rsid w:val="53FC12DE"/>
    <w:rsid w:val="5596306C"/>
    <w:rsid w:val="56102EB5"/>
    <w:rsid w:val="56290384"/>
    <w:rsid w:val="56811F6E"/>
    <w:rsid w:val="57AF327E"/>
    <w:rsid w:val="58AB5080"/>
    <w:rsid w:val="593747B9"/>
    <w:rsid w:val="59C821F6"/>
    <w:rsid w:val="5A8F4475"/>
    <w:rsid w:val="5AFF16B3"/>
    <w:rsid w:val="5B920779"/>
    <w:rsid w:val="5C7C348C"/>
    <w:rsid w:val="5CA22C3E"/>
    <w:rsid w:val="5E2A6A47"/>
    <w:rsid w:val="5E7D126D"/>
    <w:rsid w:val="5FC8476A"/>
    <w:rsid w:val="602970B6"/>
    <w:rsid w:val="60917251"/>
    <w:rsid w:val="613F4DB6"/>
    <w:rsid w:val="62226625"/>
    <w:rsid w:val="624A49A4"/>
    <w:rsid w:val="630B47AC"/>
    <w:rsid w:val="6404639E"/>
    <w:rsid w:val="640A35A3"/>
    <w:rsid w:val="64BB489D"/>
    <w:rsid w:val="66065FEC"/>
    <w:rsid w:val="66076484"/>
    <w:rsid w:val="66801E6C"/>
    <w:rsid w:val="677A00C4"/>
    <w:rsid w:val="67C717AB"/>
    <w:rsid w:val="68662D72"/>
    <w:rsid w:val="698C05B6"/>
    <w:rsid w:val="69AC6EAA"/>
    <w:rsid w:val="6A170E8B"/>
    <w:rsid w:val="6AE2586D"/>
    <w:rsid w:val="6D8A12B0"/>
    <w:rsid w:val="6E760ADE"/>
    <w:rsid w:val="6E773352"/>
    <w:rsid w:val="6F6B5112"/>
    <w:rsid w:val="6F854425"/>
    <w:rsid w:val="6FA369E7"/>
    <w:rsid w:val="7201013F"/>
    <w:rsid w:val="72A15BA4"/>
    <w:rsid w:val="73E15372"/>
    <w:rsid w:val="75664C27"/>
    <w:rsid w:val="758807CB"/>
    <w:rsid w:val="758F5725"/>
    <w:rsid w:val="76DB061F"/>
    <w:rsid w:val="772A140E"/>
    <w:rsid w:val="77534E09"/>
    <w:rsid w:val="77EF6F6D"/>
    <w:rsid w:val="7BB2340D"/>
    <w:rsid w:val="7BDC03BE"/>
    <w:rsid w:val="7C7D279F"/>
    <w:rsid w:val="7C8D4919"/>
    <w:rsid w:val="7D5D3E46"/>
    <w:rsid w:val="7E152D4D"/>
    <w:rsid w:val="7E584AB3"/>
    <w:rsid w:val="7EC15FC2"/>
    <w:rsid w:val="7F853FCE"/>
    <w:rsid w:val="7F9658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24"/>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font3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19605</Words>
  <Characters>20707</Characters>
  <Lines>150</Lines>
  <Paragraphs>42</Paragraphs>
  <TotalTime>14</TotalTime>
  <ScaleCrop>false</ScaleCrop>
  <LinksUpToDate>false</LinksUpToDate>
  <CharactersWithSpaces>20836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2022-07-26T03:36:09Z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