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上海熹晔实业有限公司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上海熹晔实业有限公司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上海市金山工业区揽工路669号4幢3048室</w:t>
            </w:r>
            <w:bookmarkEnd w:id="6"/>
          </w:p>
        </w:tc>
        <w:tc>
          <w:tcPr>
            <w:tcW w:w="1242" w:type="dxa"/>
            <w:vMerge w:val="restart"/>
            <w:vAlign w:val="center"/>
          </w:tcPr>
          <w:p>
            <w:r>
              <w:rPr>
                <w:rFonts w:hint="eastAsia"/>
              </w:rPr>
              <w:t>邮编</w:t>
            </w:r>
          </w:p>
        </w:tc>
        <w:tc>
          <w:tcPr>
            <w:tcW w:w="1771" w:type="dxa"/>
          </w:tcPr>
          <w:p>
            <w:bookmarkStart w:id="7" w:name="注册邮编"/>
            <w:r>
              <w:t>201500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default" w:eastAsia="宋体"/>
                <w:lang w:val="en-US" w:eastAsia="zh-CN"/>
              </w:rPr>
            </w:pPr>
            <w:bookmarkStart w:id="8" w:name="生产地址"/>
            <w:r>
              <w:t>上海市浦东新区严镇路253号</w:t>
            </w:r>
            <w:bookmarkEnd w:id="8"/>
            <w:r>
              <w:rPr>
                <w:rFonts w:hint="eastAsia"/>
                <w:lang w:val="en-US" w:eastAsia="zh-CN"/>
              </w:rPr>
              <w:t>B30-31</w:t>
            </w:r>
          </w:p>
        </w:tc>
        <w:tc>
          <w:tcPr>
            <w:tcW w:w="1242" w:type="dxa"/>
            <w:vMerge w:val="continue"/>
            <w:vAlign w:val="center"/>
          </w:tcPr>
          <w:p/>
        </w:tc>
        <w:tc>
          <w:tcPr>
            <w:tcW w:w="1771" w:type="dxa"/>
          </w:tcPr>
          <w:p>
            <w:bookmarkStart w:id="9" w:name="办公邮编"/>
            <w:r>
              <w:t>200125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冯猷麒</w:t>
            </w:r>
            <w:bookmarkEnd w:id="10"/>
          </w:p>
        </w:tc>
        <w:tc>
          <w:tcPr>
            <w:tcW w:w="1313" w:type="dxa"/>
            <w:vAlign w:val="center"/>
          </w:tcPr>
          <w:p>
            <w:r>
              <w:rPr>
                <w:rFonts w:hint="eastAsia"/>
              </w:rPr>
              <w:t>电话.</w:t>
            </w:r>
          </w:p>
        </w:tc>
        <w:tc>
          <w:tcPr>
            <w:tcW w:w="2180" w:type="dxa"/>
            <w:vAlign w:val="center"/>
          </w:tcPr>
          <w:p>
            <w:bookmarkStart w:id="11" w:name="联系人电话"/>
            <w:r>
              <w:t>15821722081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冯猷麒</w:t>
            </w:r>
            <w:bookmarkEnd w:id="13"/>
          </w:p>
        </w:tc>
        <w:tc>
          <w:tcPr>
            <w:tcW w:w="1313" w:type="dxa"/>
            <w:vAlign w:val="center"/>
          </w:tcPr>
          <w:p>
            <w:r>
              <w:rPr>
                <w:rFonts w:hint="eastAsia"/>
              </w:rPr>
              <w:t>管理者代表</w:t>
            </w:r>
          </w:p>
        </w:tc>
        <w:tc>
          <w:tcPr>
            <w:tcW w:w="2180" w:type="dxa"/>
          </w:tcPr>
          <w:p>
            <w:bookmarkStart w:id="14" w:name="管理者代表"/>
            <w:r>
              <w:t>陈祖梅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b w:val="0"/>
                <w:bCs w:val="0"/>
                <w:color w:val="auto"/>
                <w:sz w:val="24"/>
                <w:szCs w:val="24"/>
                <w:lang w:val="en-US" w:eastAsia="zh-CN"/>
              </w:rPr>
              <w:t>客户订单→合同评审→签订合同→确认订单→实施采购→发货→客户验收→售后服务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2022年07月16日 上午至2022年07月17日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上海市浦东新区严镇路253号</w:t>
            </w:r>
            <w:r>
              <w:rPr>
                <w:rFonts w:hint="eastAsia"/>
                <w:lang w:val="en-US" w:eastAsia="zh-CN"/>
              </w:rPr>
              <w:t>B30-31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E：食用农产品销售及相关环境康管理活动</w:t>
            </w:r>
          </w:p>
          <w:p>
            <w:r>
              <w:t>Q：食用农产品销售</w:t>
            </w:r>
          </w:p>
          <w:p>
            <w:r>
              <w:t>O：食用农产品销售及相关职业健康安全管理活动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E：29.07.01;29.07.02;29.07.09</w:t>
            </w:r>
          </w:p>
          <w:p>
            <w:r>
              <w:t>Q：29.07.01;29.07.02;29.07.09</w:t>
            </w:r>
          </w:p>
          <w:p>
            <w:r>
              <w:t>O：29.07.01;29.07.02;29.07.09</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val="en-US" w:eastAsia="zh-CN"/>
              </w:rP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color w:val="000000"/>
                <w:sz w:val="24"/>
                <w:szCs w:val="24"/>
              </w:rPr>
              <w:t xml:space="preserve">上海熹晔实业有限公司 </w:t>
            </w:r>
            <w:r>
              <w:rPr>
                <w:rFonts w:hint="eastAsia"/>
                <w:color w:val="000000"/>
                <w:sz w:val="24"/>
                <w:szCs w:val="24"/>
                <w:lang w:eastAsia="zh-CN"/>
              </w:rPr>
              <w:t>；</w:t>
            </w:r>
            <w:r>
              <w:rPr>
                <w:rFonts w:asciiTheme="minorEastAsia" w:hAnsiTheme="minorEastAsia" w:eastAsiaTheme="minorEastAsia"/>
                <w:sz w:val="20"/>
              </w:rPr>
              <w:t>上海市金山工业区揽工路669号4幢3048室</w:t>
            </w:r>
          </w:p>
        </w:tc>
        <w:tc>
          <w:tcPr>
            <w:tcW w:w="2267" w:type="dxa"/>
          </w:tcPr>
          <w:p>
            <w:pPr>
              <w:rPr>
                <w:lang w:val="de-DE" w:eastAsia="ja-JP"/>
              </w:rPr>
            </w:pPr>
            <w:r>
              <w:rPr>
                <w:rFonts w:asciiTheme="minorEastAsia" w:hAnsiTheme="minorEastAsia" w:eastAsiaTheme="minorEastAsia"/>
                <w:sz w:val="20"/>
              </w:rPr>
              <w:t>上海市浦东新区严镇路253号</w:t>
            </w:r>
            <w:r>
              <w:rPr>
                <w:rFonts w:hint="eastAsia" w:asciiTheme="minorEastAsia" w:hAnsiTheme="minorEastAsia" w:eastAsiaTheme="minorEastAsia"/>
                <w:sz w:val="20"/>
                <w:lang w:val="en-US" w:eastAsia="zh-CN"/>
              </w:rPr>
              <w:t>B30-31</w:t>
            </w:r>
          </w:p>
        </w:tc>
        <w:tc>
          <w:tcPr>
            <w:tcW w:w="571" w:type="dxa"/>
            <w:vAlign w:val="center"/>
          </w:tcPr>
          <w:p>
            <w:pPr>
              <w:rPr>
                <w:rFonts w:hint="eastAsia" w:eastAsia="宋体"/>
                <w:lang w:val="en-US" w:eastAsia="zh-CN"/>
              </w:rPr>
            </w:pPr>
            <w:r>
              <w:rPr>
                <w:rFonts w:hint="eastAsia"/>
                <w:lang w:val="en-US" w:eastAsia="zh-CN"/>
              </w:rPr>
              <w:t>7</w:t>
            </w:r>
          </w:p>
        </w:tc>
        <w:tc>
          <w:tcPr>
            <w:tcW w:w="2803" w:type="dxa"/>
            <w:vAlign w:val="center"/>
          </w:tcPr>
          <w:p>
            <w:pPr>
              <w:rPr>
                <w:sz w:val="20"/>
              </w:rPr>
            </w:pPr>
            <w:r>
              <w:rPr>
                <w:sz w:val="20"/>
              </w:rPr>
              <w:t>E：食用农产品销售及相关环境康管理活动</w:t>
            </w:r>
          </w:p>
          <w:p>
            <w:pPr>
              <w:rPr>
                <w:sz w:val="20"/>
              </w:rPr>
            </w:pPr>
            <w:r>
              <w:rPr>
                <w:sz w:val="20"/>
              </w:rPr>
              <w:t>Q：食用农产品销售</w:t>
            </w:r>
          </w:p>
          <w:p>
            <w:pPr>
              <w:spacing w:line="440" w:lineRule="exact"/>
              <w:ind w:firstLine="400" w:firstLineChars="200"/>
              <w:rPr>
                <w:color w:val="000000"/>
                <w:szCs w:val="21"/>
              </w:rPr>
            </w:pPr>
            <w:r>
              <w:rPr>
                <w:sz w:val="20"/>
              </w:rPr>
              <w:t>O：食用农产品销售及相关职业健康安全管理活动</w:t>
            </w:r>
            <w:r>
              <w:rPr>
                <w:rFonts w:hint="eastAsia"/>
                <w:color w:val="000000"/>
                <w:szCs w:val="21"/>
              </w:rPr>
              <w:t>；</w:t>
            </w:r>
          </w:p>
          <w:p>
            <w:pPr>
              <w:rPr>
                <w:lang w:eastAsia="ja-JP"/>
              </w:rPr>
            </w:pPr>
          </w:p>
        </w:tc>
        <w:tc>
          <w:tcPr>
            <w:tcW w:w="669" w:type="dxa"/>
            <w:vAlign w:val="center"/>
          </w:tcPr>
          <w:p>
            <w:pPr>
              <w:rPr>
                <w:rFonts w:hint="eastAsia" w:eastAsia="宋体"/>
                <w:lang w:eastAsia="zh-CN"/>
              </w:rPr>
            </w:pPr>
            <w:r>
              <w:rPr>
                <w:rFonts w:hint="eastAsia"/>
                <w:lang w:val="de-DE"/>
              </w:rPr>
              <w:t>GB/T19001-2016</w:t>
            </w:r>
            <w:r>
              <w:rPr>
                <w:rFonts w:hint="eastAsia"/>
                <w:lang w:val="de-DE" w:eastAsia="zh-CN"/>
              </w:rPr>
              <w:t>；</w:t>
            </w:r>
            <w:r>
              <w:rPr>
                <w:rFonts w:hint="eastAsia"/>
                <w:lang w:val="de-DE"/>
              </w:rPr>
              <w:t>GB/T24001-2016</w:t>
            </w:r>
            <w:r>
              <w:rPr>
                <w:rFonts w:hint="eastAsia"/>
                <w:lang w:val="de-DE" w:eastAsia="zh-CN"/>
              </w:rPr>
              <w:t>；</w:t>
            </w:r>
            <w:r>
              <w:rPr>
                <w:rFonts w:hint="eastAsia"/>
              </w:rPr>
              <w:t>GB/T 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2020-N1EMS-2226478</w:t>
            </w:r>
          </w:p>
          <w:p>
            <w:r>
              <w:t>2020-N1QMS-2226478</w:t>
            </w:r>
          </w:p>
          <w:p>
            <w:r>
              <w:t>2020-N1OHSMS-2226478</w:t>
            </w:r>
          </w:p>
        </w:tc>
        <w:tc>
          <w:tcPr>
            <w:tcW w:w="2179" w:type="dxa"/>
            <w:vAlign w:val="center"/>
          </w:tcPr>
          <w:p>
            <w:r>
              <w:t>E:29.07.01,29.07.02,29.07.09</w:t>
            </w:r>
          </w:p>
          <w:p>
            <w:r>
              <w:t>Q:29.07.01,29.07.02,29.07.09</w:t>
            </w:r>
          </w:p>
          <w:p>
            <w:r>
              <w:t>O:29.07.01,29.07.02,29.07.09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于立秋</w:t>
            </w:r>
          </w:p>
        </w:tc>
        <w:tc>
          <w:tcPr>
            <w:tcW w:w="1089" w:type="dxa"/>
            <w:vAlign w:val="center"/>
          </w:tcPr>
          <w:p>
            <w:r>
              <w:t>组员</w:t>
            </w:r>
          </w:p>
        </w:tc>
        <w:tc>
          <w:tcPr>
            <w:tcW w:w="711" w:type="dxa"/>
            <w:vAlign w:val="center"/>
          </w:tcPr>
          <w:p>
            <w:r>
              <w:t>女</w:t>
            </w:r>
          </w:p>
        </w:tc>
        <w:tc>
          <w:tcPr>
            <w:tcW w:w="3870" w:type="dxa"/>
            <w:vAlign w:val="center"/>
          </w:tcPr>
          <w:p>
            <w:r>
              <w:t>2020-N1EMS-5084028</w:t>
            </w:r>
          </w:p>
          <w:p>
            <w:r>
              <w:t>2021-N1QMS-3084028</w:t>
            </w:r>
          </w:p>
          <w:p>
            <w:r>
              <w:t>2021-N1OHSMS-3084028</w:t>
            </w:r>
          </w:p>
        </w:tc>
        <w:tc>
          <w:tcPr>
            <w:tcW w:w="2179" w:type="dxa"/>
            <w:vAlign w:val="center"/>
          </w:tcPr>
          <w:p>
            <w:r>
              <w:t>E:29.07.01,29.07.02,29.07.09</w:t>
            </w:r>
          </w:p>
          <w:p>
            <w:r>
              <w:t>O:29.07.01,29.07.02,29.07.09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范雯</w:t>
            </w:r>
          </w:p>
        </w:tc>
        <w:tc>
          <w:tcPr>
            <w:tcW w:w="1089" w:type="dxa"/>
            <w:vAlign w:val="center"/>
          </w:tcPr>
          <w:p>
            <w:r>
              <w:t>组员</w:t>
            </w:r>
          </w:p>
        </w:tc>
        <w:tc>
          <w:tcPr>
            <w:tcW w:w="711" w:type="dxa"/>
            <w:vAlign w:val="center"/>
          </w:tcPr>
          <w:p>
            <w:r>
              <w:t>女</w:t>
            </w:r>
          </w:p>
        </w:tc>
        <w:tc>
          <w:tcPr>
            <w:tcW w:w="3870" w:type="dxa"/>
            <w:vAlign w:val="center"/>
          </w:tcPr>
          <w:p>
            <w:r>
              <w:t>2021-N0QMS-1283054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Theme="minorEastAsia"/>
                <w:lang w:val="en-US" w:eastAsia="zh-CN"/>
              </w:rPr>
            </w:pPr>
            <w:r>
              <w:rPr>
                <w:rFonts w:hint="eastAsia" w:asciiTheme="minorEastAsia" w:hAnsiTheme="minorEastAsia" w:eastAsiaTheme="minorEastAsia"/>
                <w:sz w:val="20"/>
                <w:lang w:val="en-US" w:eastAsia="zh-CN"/>
              </w:rPr>
              <w:t>原经营地址：</w:t>
            </w:r>
            <w:r>
              <w:rPr>
                <w:rFonts w:asciiTheme="minorEastAsia" w:hAnsiTheme="minorEastAsia" w:eastAsiaTheme="minorEastAsia"/>
                <w:sz w:val="20"/>
              </w:rPr>
              <w:t>上海市浦东新区严镇路253号</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变更后经营地址：</w:t>
            </w:r>
            <w:r>
              <w:rPr>
                <w:rFonts w:asciiTheme="minorEastAsia" w:hAnsiTheme="minorEastAsia" w:eastAsiaTheme="minorEastAsia"/>
                <w:sz w:val="20"/>
              </w:rPr>
              <w:t>上海市浦东新区严镇路253号</w:t>
            </w:r>
            <w:r>
              <w:rPr>
                <w:rFonts w:hint="eastAsia" w:asciiTheme="minorEastAsia" w:hAnsiTheme="minorEastAsia" w:eastAsiaTheme="minorEastAsia"/>
                <w:sz w:val="20"/>
                <w:lang w:val="en-US" w:eastAsia="zh-CN"/>
              </w:rPr>
              <w:t>B30-31；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drawing>
                <wp:anchor distT="0" distB="0" distL="114300" distR="114300" simplePos="0" relativeHeight="251662336" behindDoc="0" locked="0" layoutInCell="1" allowOverlap="1">
                  <wp:simplePos x="0" y="0"/>
                  <wp:positionH relativeFrom="column">
                    <wp:posOffset>73660</wp:posOffset>
                  </wp:positionH>
                  <wp:positionV relativeFrom="page">
                    <wp:posOffset>330835</wp:posOffset>
                  </wp:positionV>
                  <wp:extent cx="662940" cy="411480"/>
                  <wp:effectExtent l="0" t="0" r="762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6">
                            <a:clrChange>
                              <a:clrFrom>
                                <a:srgbClr val="CECAC7"/>
                              </a:clrFrom>
                              <a:clrTo>
                                <a:srgbClr val="CECAC7">
                                  <a:alpha val="0"/>
                                </a:srgbClr>
                              </a:clrTo>
                            </a:clrChange>
                          </a:blip>
                          <a:srcRect l="7346" t="10753" r="11560" b="11829"/>
                          <a:stretch>
                            <a:fillRect/>
                          </a:stretch>
                        </pic:blipFill>
                        <pic:spPr>
                          <a:xfrm>
                            <a:off x="0" y="0"/>
                            <a:ext cx="662940" cy="41148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顾客至上，质量为先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持续改进</w:t>
            </w:r>
            <w:r>
              <w:rPr>
                <w:rFonts w:hint="eastAsia" w:ascii="Times New Roman" w:hAnsi="Times New Roman" w:eastAsia="宋体" w:cs="Times New Roman"/>
                <w:color w:val="000000"/>
                <w:szCs w:val="18"/>
                <w:lang w:eastAsia="zh-CN"/>
              </w:rPr>
              <w:t>，力求发展</w:t>
            </w:r>
            <w:r>
              <w:rPr>
                <w:rFonts w:hint="eastAsia" w:ascii="Times New Roman" w:hAnsi="Times New Roman" w:eastAsia="宋体" w:cs="Times New Roman"/>
                <w:color w:val="000000"/>
                <w:szCs w:val="18"/>
              </w:rPr>
              <w:t>；</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eastAsia="zh-CN"/>
              </w:rPr>
              <w:t>强化管理</w:t>
            </w:r>
            <w:r>
              <w:rPr>
                <w:rFonts w:hint="eastAsia" w:ascii="Times New Roman" w:hAnsi="Times New Roman" w:eastAsia="宋体" w:cs="Times New Roman"/>
                <w:color w:val="000000"/>
                <w:szCs w:val="18"/>
              </w:rPr>
              <w:t>，</w:t>
            </w:r>
            <w:r>
              <w:rPr>
                <w:rFonts w:hint="eastAsia" w:ascii="Times New Roman" w:hAnsi="Times New Roman" w:eastAsia="宋体" w:cs="Times New Roman"/>
                <w:color w:val="000000"/>
                <w:szCs w:val="18"/>
                <w:lang w:eastAsia="zh-CN"/>
              </w:rPr>
              <w:t>节约能源</w:t>
            </w:r>
            <w:r>
              <w:rPr>
                <w:rFonts w:hint="eastAsia" w:ascii="Times New Roman" w:hAnsi="Times New Roman" w:eastAsia="宋体" w:cs="Times New Roman"/>
                <w:color w:val="000000"/>
                <w:szCs w:val="18"/>
              </w:rPr>
              <w:t>，关爱环境，预防污染</w:t>
            </w:r>
            <w:r>
              <w:rPr>
                <w:rFonts w:hint="eastAsia" w:ascii="Times New Roman" w:hAnsi="Times New Roman" w:eastAsia="宋体" w:cs="Times New Roman"/>
                <w:color w:val="000000"/>
                <w:szCs w:val="18"/>
                <w:lang w:eastAsia="zh-CN"/>
              </w:rPr>
              <w:t>；</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rPr>
              <w:t>关爱生命，关注安全，遵规守法，降低风险</w:t>
            </w:r>
            <w:r>
              <w:rPr>
                <w:rFonts w:hint="eastAsia" w:ascii="Times New Roman" w:hAnsi="Times New Roman" w:eastAsia="宋体" w:cs="Times New Roman"/>
                <w:color w:val="000000"/>
                <w:szCs w:val="18"/>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color w:val="000000" w:themeColor="text1"/>
                      <w:szCs w:val="21"/>
                      <w:lang w:val="en-US" w:eastAsia="zh-CN"/>
                    </w:rPr>
                    <w:t>市场投标竞争</w:t>
                  </w:r>
                </w:p>
              </w:tc>
              <w:tc>
                <w:tcPr>
                  <w:tcW w:w="3965" w:type="dxa"/>
                </w:tcPr>
                <w:p>
                  <w:pPr>
                    <w:shd w:val="clear" w:color="auto" w:fill="C7DAF1" w:themeFill="text2" w:themeFillTint="32"/>
                    <w:rPr>
                      <w:rFonts w:hint="default" w:eastAsia="宋体"/>
                      <w:lang w:val="en-US" w:eastAsia="zh-CN"/>
                    </w:rPr>
                  </w:pPr>
                  <w:r>
                    <w:rPr>
                      <w:rFonts w:hint="eastAsia"/>
                      <w:color w:val="000000" w:themeColor="text1"/>
                      <w:szCs w:val="21"/>
                      <w:lang w:val="en-US" w:eastAsia="zh-CN"/>
                    </w:rPr>
                    <w:t>建立管理体系</w:t>
                  </w: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color w:val="auto"/>
                      <w:kern w:val="0"/>
                      <w:sz w:val="24"/>
                      <w:szCs w:val="24"/>
                      <w:lang w:eastAsia="zh-CN"/>
                    </w:rPr>
                    <w:t>产品</w:t>
                  </w:r>
                  <w:r>
                    <w:rPr>
                      <w:rFonts w:hint="eastAsia" w:ascii="宋体" w:hAnsi="宋体" w:eastAsia="宋体" w:cs="宋体"/>
                      <w:color w:val="auto"/>
                      <w:kern w:val="0"/>
                      <w:sz w:val="24"/>
                      <w:szCs w:val="24"/>
                    </w:rPr>
                    <w:t>及时交付率100%</w:t>
                  </w:r>
                </w:p>
              </w:tc>
              <w:tc>
                <w:tcPr>
                  <w:tcW w:w="3136" w:type="dxa"/>
                  <w:shd w:val="clear" w:color="auto" w:fill="auto"/>
                  <w:vAlign w:val="top"/>
                </w:tcPr>
                <w:p>
                  <w:pPr>
                    <w:widowControl/>
                    <w:spacing w:before="40"/>
                    <w:jc w:val="left"/>
                    <w:rPr>
                      <w:rFonts w:hint="eastAsia" w:eastAsia="宋体"/>
                      <w:lang w:val="en-US" w:eastAsia="zh-CN"/>
                    </w:rPr>
                  </w:pPr>
                  <w:r>
                    <w:rPr>
                      <w:rFonts w:hint="eastAsia"/>
                      <w:color w:val="000000"/>
                      <w:szCs w:val="18"/>
                      <w:highlight w:val="cyan"/>
                    </w:rPr>
                    <w:t>交付产品合格数/产品交付总数*100％</w:t>
                  </w:r>
                </w:p>
              </w:tc>
              <w:tc>
                <w:tcPr>
                  <w:tcW w:w="1350" w:type="dxa"/>
                  <w:shd w:val="clear" w:color="auto" w:fill="auto"/>
                  <w:vAlign w:val="center"/>
                </w:tcPr>
                <w:p>
                  <w:pPr>
                    <w:shd w:val="clear" w:color="auto" w:fill="C7DAF1" w:themeFill="text2" w:themeFillTint="32"/>
                    <w:rPr>
                      <w:lang w:val="en-GB"/>
                    </w:rPr>
                  </w:pPr>
                  <w:r>
                    <w:rPr>
                      <w:rFonts w:hint="eastAsia"/>
                      <w:color w:val="000000" w:themeColor="text1"/>
                      <w:szCs w:val="21"/>
                      <w:lang w:val="en-US" w:eastAsia="zh-CN"/>
                    </w:rPr>
                    <w:t xml:space="preserve">项目部 </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color w:val="000000" w:themeColor="text1"/>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color w:val="auto"/>
                      <w:kern w:val="0"/>
                      <w:sz w:val="24"/>
                      <w:szCs w:val="24"/>
                    </w:rPr>
                    <w:t>合同履约率100%</w:t>
                  </w:r>
                </w:p>
              </w:tc>
              <w:tc>
                <w:tcPr>
                  <w:tcW w:w="3136" w:type="dxa"/>
                  <w:shd w:val="clear" w:color="auto" w:fill="auto"/>
                  <w:vAlign w:val="top"/>
                </w:tcPr>
                <w:p>
                  <w:pPr>
                    <w:widowControl/>
                    <w:spacing w:before="40"/>
                    <w:jc w:val="left"/>
                    <w:rPr>
                      <w:rFonts w:ascii="宋体" w:hAnsi="宋体"/>
                    </w:rPr>
                  </w:pPr>
                  <w:r>
                    <w:rPr>
                      <w:rFonts w:hint="eastAsia"/>
                      <w:color w:val="000000"/>
                      <w:szCs w:val="18"/>
                      <w:highlight w:val="cyan"/>
                    </w:rPr>
                    <w:t>履约的合同数/总签约的合同数*100％</w:t>
                  </w:r>
                </w:p>
              </w:tc>
              <w:tc>
                <w:tcPr>
                  <w:tcW w:w="1350" w:type="dxa"/>
                  <w:shd w:val="clear" w:color="auto" w:fill="auto"/>
                  <w:vAlign w:val="center"/>
                </w:tcPr>
                <w:p>
                  <w:pPr>
                    <w:shd w:val="clear" w:color="auto" w:fill="C7DAF1" w:themeFill="text2" w:themeFillTint="32"/>
                    <w:rPr>
                      <w:rFonts w:ascii="宋体" w:hAnsi="宋体"/>
                    </w:rPr>
                  </w:pPr>
                  <w:r>
                    <w:rPr>
                      <w:rFonts w:hint="eastAsia"/>
                      <w:color w:val="000000" w:themeColor="text1"/>
                      <w:szCs w:val="21"/>
                      <w:lang w:val="en-US" w:eastAsia="zh-CN"/>
                    </w:rPr>
                    <w:t xml:space="preserve">项目部  </w:t>
                  </w:r>
                </w:p>
              </w:tc>
              <w:tc>
                <w:tcPr>
                  <w:tcW w:w="1774" w:type="dxa"/>
                  <w:shd w:val="clear" w:color="auto" w:fill="auto"/>
                  <w:vAlign w:val="center"/>
                </w:tcPr>
                <w:p>
                  <w:pPr>
                    <w:shd w:val="clear" w:color="auto" w:fill="C7DAF1" w:themeFill="text2" w:themeFillTint="32"/>
                    <w:jc w:val="center"/>
                    <w:rPr>
                      <w:rFonts w:hint="default" w:ascii="宋体" w:hAnsi="宋体"/>
                      <w:lang w:val="en-US"/>
                    </w:rPr>
                  </w:pPr>
                  <w:r>
                    <w:rPr>
                      <w:rFonts w:hint="eastAsia"/>
                      <w:color w:val="000000" w:themeColor="text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宋体" w:hAnsi="宋体" w:eastAsia="宋体" w:cs="宋体"/>
                      <w:color w:val="auto"/>
                      <w:kern w:val="0"/>
                      <w:sz w:val="24"/>
                      <w:szCs w:val="24"/>
                    </w:rPr>
                    <w:t>顾客满意度≥90分</w:t>
                  </w:r>
                </w:p>
              </w:tc>
              <w:tc>
                <w:tcPr>
                  <w:tcW w:w="3136" w:type="dxa"/>
                  <w:shd w:val="clear" w:color="auto" w:fill="auto"/>
                  <w:vAlign w:val="top"/>
                </w:tcPr>
                <w:p>
                  <w:pPr>
                    <w:widowControl/>
                    <w:spacing w:before="40"/>
                    <w:jc w:val="left"/>
                    <w:rPr>
                      <w:rFonts w:ascii="宋体" w:hAnsi="宋体"/>
                    </w:rPr>
                  </w:pPr>
                  <w:r>
                    <w:rPr>
                      <w:rFonts w:hint="eastAsia"/>
                      <w:color w:val="000000"/>
                      <w:szCs w:val="18"/>
                      <w:highlight w:val="cyan"/>
                    </w:rPr>
                    <w:t>调查客户总分/客户数量</w:t>
                  </w:r>
                </w:p>
              </w:tc>
              <w:tc>
                <w:tcPr>
                  <w:tcW w:w="1350" w:type="dxa"/>
                  <w:shd w:val="clear" w:color="auto" w:fill="auto"/>
                  <w:vAlign w:val="center"/>
                </w:tcPr>
                <w:p>
                  <w:pPr>
                    <w:shd w:val="clear" w:color="auto" w:fill="C7DAF1" w:themeFill="text2" w:themeFillTint="32"/>
                    <w:rPr>
                      <w:rFonts w:ascii="宋体" w:hAnsi="宋体"/>
                    </w:rPr>
                  </w:pPr>
                  <w:r>
                    <w:rPr>
                      <w:rFonts w:hint="eastAsia"/>
                      <w:color w:val="000000" w:themeColor="text1"/>
                      <w:szCs w:val="21"/>
                      <w:lang w:val="en-US" w:eastAsia="zh-CN"/>
                    </w:rPr>
                    <w:t xml:space="preserve">项目部 </w:t>
                  </w: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40 </w:t>
            </w:r>
            <w:r>
              <w:rPr>
                <w:rFonts w:hint="eastAsia"/>
              </w:rPr>
              <w:t>平方米；生产车间个；；实验室个；</w:t>
            </w:r>
          </w:p>
          <w:p>
            <w:pPr>
              <w:shd w:val="clear" w:color="auto" w:fill="C7DAF1" w:themeFill="text2" w:themeFillTint="32"/>
              <w:rPr>
                <w:rFonts w:hint="default"/>
                <w:u w:val="single"/>
                <w:lang w:val="en-US"/>
              </w:rPr>
            </w:pPr>
            <w:r>
              <w:rPr>
                <w:rFonts w:hint="eastAsia"/>
              </w:rPr>
              <w:t>主要生产设备有：</w:t>
            </w:r>
            <w:r>
              <w:rPr>
                <w:rFonts w:hint="eastAsia"/>
                <w:sz w:val="24"/>
                <w:szCs w:val="24"/>
                <w:lang w:val="en-US" w:eastAsia="zh-CN"/>
              </w:rPr>
              <w:t>空调、电脑、打印机、运输车辆</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sz w:val="24"/>
                <w:szCs w:val="24"/>
                <w:lang w:val="en-US" w:eastAsia="zh-CN"/>
              </w:rPr>
              <w:t>主要的监视测量工具为4合一报警仪，防爆手机、激光测距仪等（均为受审查企业提供）；</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电子秤</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A3"/>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A3"/>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rFonts w:hint="eastAsia"/>
              </w:rPr>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A3"/>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highlight w:val="none"/>
                <w:lang w:val="en-US" w:eastAsia="zh-CN"/>
              </w:rPr>
              <w:t>销售过程</w:t>
            </w:r>
            <w:r>
              <w:rPr>
                <w:rFonts w:hint="eastAsia"/>
                <w:highlight w:val="none"/>
              </w:rPr>
              <w:t>，</w:t>
            </w:r>
          </w:p>
          <w:p>
            <w:pPr>
              <w:shd w:val="clear" w:color="auto" w:fill="C7DAF1" w:themeFill="text2" w:themeFillTint="32"/>
              <w:jc w:val="left"/>
              <w:rPr>
                <w:rFonts w:hint="default" w:eastAsia="宋体"/>
                <w:lang w:val="en-US" w:eastAsia="zh-CN"/>
              </w:rPr>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val="en-US" w:eastAsia="zh-CN"/>
              </w:rPr>
              <w:t>未对车辆设备进行确认。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highlight w:val="none"/>
              </w:rPr>
              <w:t>组织在生产和</w:t>
            </w:r>
            <w:r>
              <w:rPr>
                <w:rFonts w:hint="eastAsia"/>
              </w:rPr>
              <w:t>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记录表格</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组织应满足与产</w:t>
            </w:r>
            <w:r>
              <w:rPr>
                <w:rFonts w:hint="eastAsia"/>
              </w:rPr>
              <w:t>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合同约定</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组织在适当阶段实</w:t>
            </w:r>
            <w:r>
              <w:rPr>
                <w:rFonts w:hint="eastAsia"/>
              </w:rPr>
              <w:t>施策划的安排，以验证产品和服务的要求已得到满足。</w:t>
            </w:r>
          </w:p>
          <w:p>
            <w:pPr>
              <w:shd w:val="clear" w:color="auto" w:fill="C7DAF1" w:themeFill="text2" w:themeFillTint="32"/>
              <w:rPr>
                <w:rFonts w:hint="eastAsia"/>
              </w:rPr>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A3"/>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rPr>
            </w:pPr>
            <w:r>
              <w:rPr>
                <w:rFonts w:hint="eastAsia" w:ascii="Times New Roman" w:hAnsi="Times New Roman" w:eastAsia="宋体" w:cs="Times New Roman"/>
                <w:color w:val="000000"/>
                <w:szCs w:val="18"/>
              </w:rPr>
              <w:t>顾客至上，质量为先</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持续改进</w:t>
            </w:r>
            <w:r>
              <w:rPr>
                <w:rFonts w:hint="eastAsia" w:ascii="Times New Roman" w:hAnsi="Times New Roman" w:eastAsia="宋体" w:cs="Times New Roman"/>
                <w:color w:val="000000"/>
                <w:szCs w:val="18"/>
                <w:lang w:eastAsia="zh-CN"/>
              </w:rPr>
              <w:t>，力求发展</w:t>
            </w:r>
            <w:r>
              <w:rPr>
                <w:rFonts w:hint="eastAsia" w:ascii="Times New Roman" w:hAnsi="Times New Roman" w:eastAsia="宋体" w:cs="Times New Roman"/>
                <w:color w:val="000000"/>
                <w:szCs w:val="18"/>
              </w:rPr>
              <w:t>；</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lang w:eastAsia="zh-CN"/>
              </w:rPr>
              <w:t>强化管理</w:t>
            </w:r>
            <w:r>
              <w:rPr>
                <w:rFonts w:hint="eastAsia" w:ascii="Times New Roman" w:hAnsi="Times New Roman" w:eastAsia="宋体" w:cs="Times New Roman"/>
                <w:color w:val="000000"/>
                <w:szCs w:val="18"/>
              </w:rPr>
              <w:t>，</w:t>
            </w:r>
            <w:r>
              <w:rPr>
                <w:rFonts w:hint="eastAsia" w:ascii="Times New Roman" w:hAnsi="Times New Roman" w:eastAsia="宋体" w:cs="Times New Roman"/>
                <w:color w:val="000000"/>
                <w:szCs w:val="18"/>
                <w:lang w:eastAsia="zh-CN"/>
              </w:rPr>
              <w:t>节约能源</w:t>
            </w:r>
            <w:r>
              <w:rPr>
                <w:rFonts w:hint="eastAsia" w:ascii="Times New Roman" w:hAnsi="Times New Roman" w:eastAsia="宋体" w:cs="Times New Roman"/>
                <w:color w:val="000000"/>
                <w:szCs w:val="18"/>
              </w:rPr>
              <w:t>，关爱环境，预防污染</w:t>
            </w:r>
            <w:r>
              <w:rPr>
                <w:rFonts w:hint="eastAsia" w:ascii="Times New Roman" w:hAnsi="Times New Roman" w:eastAsia="宋体" w:cs="Times New Roman"/>
                <w:color w:val="000000"/>
                <w:szCs w:val="18"/>
                <w:lang w:eastAsia="zh-CN"/>
              </w:rPr>
              <w:t>；</w:t>
            </w:r>
          </w:p>
          <w:p>
            <w:pPr>
              <w:pageBreakBefore w:val="0"/>
              <w:kinsoku/>
              <w:overflowPunct/>
              <w:topLinePunct w:val="0"/>
              <w:bidi w:val="0"/>
              <w:spacing w:line="360" w:lineRule="auto"/>
              <w:ind w:firstLine="420" w:firstLineChars="200"/>
              <w:rPr>
                <w:rFonts w:hint="eastAsia" w:ascii="Times New Roman" w:hAnsi="Times New Roman" w:eastAsia="宋体" w:cs="Times New Roman"/>
                <w:color w:val="000000"/>
                <w:szCs w:val="18"/>
                <w:lang w:eastAsia="zh-CN"/>
              </w:rPr>
            </w:pPr>
            <w:r>
              <w:rPr>
                <w:rFonts w:hint="eastAsia" w:ascii="Times New Roman" w:hAnsi="Times New Roman" w:eastAsia="宋体" w:cs="Times New Roman"/>
                <w:color w:val="000000"/>
                <w:szCs w:val="18"/>
              </w:rPr>
              <w:t>关爱生命，关注安全，遵规守法，降低风险</w:t>
            </w:r>
            <w:r>
              <w:rPr>
                <w:rFonts w:hint="eastAsia" w:ascii="Times New Roman" w:hAnsi="Times New Roman" w:eastAsia="宋体" w:cs="Times New Roman"/>
                <w:color w:val="000000"/>
                <w:szCs w:val="18"/>
                <w:lang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宋体" w:hAnsi="宋体" w:cs="宋体"/>
                      <w:bCs/>
                      <w:sz w:val="24"/>
                      <w:szCs w:val="24"/>
                    </w:rPr>
                  </w:pPr>
                  <w:r>
                    <w:rPr>
                      <w:rFonts w:hint="eastAsia" w:ascii="宋体" w:hAnsi="宋体" w:cs="宋体"/>
                      <w:bCs/>
                      <w:sz w:val="24"/>
                      <w:szCs w:val="24"/>
                    </w:rPr>
                    <w:t>固体废弃物处理，潜在火灾事故发生。</w:t>
                  </w:r>
                </w:p>
                <w:p>
                  <w:pPr>
                    <w:shd w:val="clear" w:color="auto" w:fill="EBF1DE" w:themeFill="accent3" w:themeFillTint="32"/>
                  </w:pPr>
                  <w:r>
                    <w:rPr>
                      <w:rFonts w:hint="eastAsia"/>
                    </w:rPr>
                    <w:tab/>
                  </w:r>
                </w:p>
              </w:tc>
              <w:tc>
                <w:tcPr>
                  <w:tcW w:w="3965" w:type="dxa"/>
                </w:tcPr>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1.执行环境/职业健康安全管理方案；</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2.建立废弃物处理控制程序；</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3.建立火灾应急预案；</w:t>
                  </w:r>
                </w:p>
                <w:p>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4.加强员工教育。</w:t>
                  </w:r>
                </w:p>
                <w:p>
                  <w:pPr>
                    <w:shd w:val="clear" w:color="auto" w:fill="EBF1DE" w:themeFill="accent3" w:themeFillTint="32"/>
                  </w:pPr>
                </w:p>
              </w:tc>
              <w:tc>
                <w:tcPr>
                  <w:tcW w:w="1717" w:type="dxa"/>
                </w:tcPr>
                <w:p>
                  <w:pPr>
                    <w:shd w:val="clear" w:color="auto" w:fill="EBF1DE" w:themeFill="accent3" w:themeFillTint="32"/>
                  </w:pPr>
                  <w:r>
                    <w:rPr>
                      <w:rFonts w:hint="eastAsia"/>
                    </w:rPr>
                    <w:tab/>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i w:val="0"/>
                      <w:color w:val="000000"/>
                      <w:kern w:val="0"/>
                      <w:sz w:val="21"/>
                      <w:szCs w:val="21"/>
                      <w:u w:val="none"/>
                      <w:lang w:val="en-US" w:eastAsia="zh-CN" w:bidi="ar"/>
                    </w:rPr>
                    <w:t>固废分类回收处理率100%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kern w:val="0"/>
                      <w:sz w:val="24"/>
                      <w:szCs w:val="24"/>
                      <w:lang w:val="en-US" w:eastAsia="zh-CN"/>
                    </w:rPr>
                    <w:t>火灾事故为0</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lang w:val="en-US" w:eastAsia="zh-CN"/>
                    </w:rPr>
                    <w:t>管理方案、运行控制、应急预案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办公用品</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highlight w:val="none"/>
              </w:rPr>
              <w:t>组织的生产和服务提供流程图（见第三条款）</w:t>
            </w:r>
            <w:r>
              <w:rPr>
                <w:rFonts w:hint="eastAsia"/>
              </w:rPr>
              <w:t>，企业环境因素控制情况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管理方案/运行控制/应急预案</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rPr>
              <w:t>、</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before="40" w:after="40"/>
        <w:rPr>
          <w:rFonts w:eastAsia="微软雅黑"/>
          <w:sz w:val="20"/>
          <w:szCs w:val="20"/>
        </w:rPr>
      </w:pPr>
    </w:p>
    <w:p>
      <w:pPr>
        <w:spacing w:before="40" w:after="40"/>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rPr>
          <w:rFonts w:eastAsia="微软雅黑"/>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ageBreakBefore w:val="0"/>
              <w:kinsoku/>
              <w:overflowPunct/>
              <w:topLinePunct w:val="0"/>
              <w:bidi w:val="0"/>
              <w:spacing w:line="360" w:lineRule="auto"/>
              <w:ind w:firstLine="420" w:firstLineChars="200"/>
              <w:rPr>
                <w:rFonts w:hint="eastAsia"/>
                <w:color w:val="000000"/>
                <w:szCs w:val="18"/>
              </w:rPr>
            </w:pPr>
            <w:r>
              <w:rPr>
                <w:rFonts w:hint="eastAsia"/>
                <w:color w:val="000000"/>
                <w:szCs w:val="18"/>
              </w:rPr>
              <w:t>遵守法律法规，确保</w:t>
            </w:r>
            <w:r>
              <w:rPr>
                <w:rFonts w:hint="eastAsia"/>
                <w:color w:val="000000"/>
                <w:szCs w:val="18"/>
                <w:lang w:val="en-US" w:eastAsia="zh-CN"/>
              </w:rPr>
              <w:t>产品</w:t>
            </w:r>
            <w:r>
              <w:rPr>
                <w:rFonts w:hint="eastAsia"/>
                <w:color w:val="000000"/>
                <w:szCs w:val="18"/>
              </w:rPr>
              <w:t>质量，预防环境污染,</w:t>
            </w:r>
          </w:p>
          <w:p>
            <w:pPr>
              <w:ind w:firstLine="420" w:firstLineChars="200"/>
              <w:rPr>
                <w:u w:val="single"/>
              </w:rPr>
            </w:pPr>
            <w:r>
              <w:rPr>
                <w:rFonts w:hint="eastAsia"/>
                <w:color w:val="000000"/>
                <w:szCs w:val="18"/>
              </w:rPr>
              <w:t>控制安全风险，实施持续改进，追求顾客满意</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管理层</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宋体" w:hAnsi="宋体" w:eastAsia="宋体" w:cs="宋体"/>
                <w:bCs/>
                <w:sz w:val="24"/>
                <w:szCs w:val="24"/>
              </w:rPr>
              <w:t>金锡明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numPr>
                      <w:ilvl w:val="0"/>
                      <w:numId w:val="2"/>
                    </w:numPr>
                    <w:spacing w:line="360" w:lineRule="auto"/>
                    <w:ind w:left="0" w:firstLine="480" w:firstLineChars="200"/>
                    <w:rPr>
                      <w:rFonts w:hint="eastAsia" w:ascii="宋体" w:hAnsi="宋体" w:cs="宋体"/>
                      <w:kern w:val="0"/>
                      <w:sz w:val="24"/>
                      <w:szCs w:val="24"/>
                    </w:rPr>
                  </w:pPr>
                  <w:r>
                    <w:rPr>
                      <w:rFonts w:hint="eastAsia" w:ascii="宋体" w:hAnsi="宋体" w:cs="宋体"/>
                      <w:kern w:val="0"/>
                      <w:sz w:val="24"/>
                      <w:szCs w:val="24"/>
                    </w:rPr>
                    <w:t>触电事故为</w:t>
                  </w:r>
                </w:p>
                <w:p>
                  <w:pPr>
                    <w:widowControl/>
                    <w:numPr>
                      <w:ilvl w:val="0"/>
                      <w:numId w:val="2"/>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火灾事故为</w:t>
                  </w:r>
                </w:p>
                <w:p>
                  <w:pPr>
                    <w:widowControl/>
                    <w:numPr>
                      <w:ilvl w:val="0"/>
                      <w:numId w:val="2"/>
                    </w:numPr>
                    <w:spacing w:line="360" w:lineRule="auto"/>
                    <w:ind w:left="0" w:firstLine="480" w:firstLineChars="200"/>
                  </w:pPr>
                  <w:r>
                    <w:rPr>
                      <w:rFonts w:hint="eastAsia" w:ascii="宋体" w:hAnsi="宋体" w:cs="宋体"/>
                      <w:kern w:val="0"/>
                      <w:sz w:val="24"/>
                      <w:szCs w:val="24"/>
                    </w:rPr>
                    <w:t>交通事故为</w:t>
                  </w:r>
                </w:p>
              </w:tc>
              <w:tc>
                <w:tcPr>
                  <w:tcW w:w="3965" w:type="dxa"/>
                </w:tcPr>
                <w:p>
                  <w:pPr>
                    <w:rPr>
                      <w:rFonts w:hint="default" w:eastAsia="宋体"/>
                      <w:lang w:val="en-US" w:eastAsia="zh-CN"/>
                    </w:rPr>
                  </w:pPr>
                  <w:r>
                    <w:rPr>
                      <w:rFonts w:hint="eastAsia"/>
                      <w:color w:val="000000" w:themeColor="text1"/>
                      <w:szCs w:val="21"/>
                      <w:lang w:val="en-US" w:eastAsia="zh-CN"/>
                    </w:rPr>
                    <w:t>管理方案、运行控制、应急预案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highlight w:val="none"/>
              </w:rPr>
              <w:t>不可接受危险源包括(必要时，按</w:t>
            </w:r>
            <w:r>
              <w:rPr>
                <w:rFonts w:hint="eastAsia"/>
              </w:rPr>
              <w:t>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w:t>
            </w:r>
            <w:r>
              <w:rPr>
                <w:rFonts w:hint="eastAsia"/>
              </w:rPr>
              <w:sym w:font="Wingdings 2" w:char="00A3"/>
            </w:r>
            <w:r>
              <w:rPr>
                <w:rFonts w:hint="eastAsia"/>
              </w:rPr>
              <w:t>化学伤害□噪声□粉尘□危险作业□高低温</w:t>
            </w:r>
            <w:r>
              <w:rPr>
                <w:rFonts w:hint="eastAsia"/>
              </w:rPr>
              <w:sym w:font="Wingdings 2" w:char="00A3"/>
            </w:r>
            <w:r>
              <w:rPr>
                <w:rFonts w:hint="eastAsia"/>
              </w:rPr>
              <w:t>危化品泄露</w:t>
            </w:r>
            <w:r>
              <w:rPr>
                <w:rFonts w:hint="eastAsia"/>
              </w:rPr>
              <w:sym w:font="Wingdings 2" w:char="00A3"/>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highlight w:val="none"/>
              </w:rPr>
              <w:t>组织策划并采取措施应对职业健康安</w:t>
            </w:r>
            <w:r>
              <w:rPr>
                <w:rFonts w:hint="eastAsia"/>
              </w:rPr>
              <w:t>全风险和机会、法律法规和其他要求和准备和响应紧急情况；</w:t>
            </w:r>
          </w:p>
          <w:p>
            <w:r>
              <w:rPr>
                <w:rFonts w:hint="eastAsia"/>
              </w:rPr>
              <w:t>□安全装置□除尘设备□漏电保护</w:t>
            </w:r>
            <w:r>
              <w:rPr>
                <w:rFonts w:hint="eastAsia"/>
              </w:rPr>
              <w:sym w:font="Wingdings 2" w:char="00A3"/>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highlight w:val="none"/>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numPr>
                      <w:ilvl w:val="0"/>
                      <w:numId w:val="2"/>
                    </w:numPr>
                    <w:spacing w:line="360" w:lineRule="auto"/>
                    <w:ind w:left="0" w:firstLine="480" w:firstLineChars="200"/>
                    <w:rPr>
                      <w:rFonts w:hint="eastAsia" w:ascii="宋体" w:hAnsi="宋体" w:cs="宋体"/>
                      <w:kern w:val="0"/>
                      <w:sz w:val="24"/>
                      <w:szCs w:val="24"/>
                    </w:rPr>
                  </w:pPr>
                  <w:r>
                    <w:rPr>
                      <w:rFonts w:hint="eastAsia" w:ascii="宋体" w:hAnsi="宋体" w:cs="宋体"/>
                      <w:kern w:val="0"/>
                      <w:sz w:val="24"/>
                      <w:szCs w:val="24"/>
                    </w:rPr>
                    <w:t>触电事故为0；</w:t>
                  </w:r>
                </w:p>
                <w:p>
                  <w:pPr>
                    <w:widowControl/>
                    <w:numPr>
                      <w:ilvl w:val="0"/>
                      <w:numId w:val="2"/>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火灾事故为0；</w:t>
                  </w:r>
                </w:p>
                <w:p>
                  <w:pPr>
                    <w:widowControl/>
                    <w:numPr>
                      <w:ilvl w:val="0"/>
                      <w:numId w:val="2"/>
                    </w:numPr>
                    <w:spacing w:line="360" w:lineRule="auto"/>
                    <w:ind w:left="0" w:firstLine="480" w:firstLineChars="200"/>
                    <w:rPr>
                      <w:rFonts w:ascii="宋体" w:hAnsi="宋体" w:cs="宋体"/>
                      <w:kern w:val="0"/>
                      <w:sz w:val="24"/>
                      <w:szCs w:val="24"/>
                    </w:rPr>
                  </w:pPr>
                  <w:r>
                    <w:rPr>
                      <w:rFonts w:hint="eastAsia" w:ascii="宋体" w:hAnsi="宋体" w:cs="宋体"/>
                      <w:kern w:val="0"/>
                      <w:sz w:val="24"/>
                      <w:szCs w:val="24"/>
                    </w:rPr>
                    <w:t>交通事故为0。</w:t>
                  </w:r>
                </w:p>
                <w:p>
                  <w:pPr>
                    <w:widowControl/>
                    <w:numPr>
                      <w:numId w:val="0"/>
                    </w:numPr>
                    <w:spacing w:before="40" w:line="360" w:lineRule="auto"/>
                    <w:ind w:leftChars="200"/>
                    <w:jc w:val="left"/>
                  </w:pPr>
                </w:p>
              </w:tc>
              <w:tc>
                <w:tcPr>
                  <w:tcW w:w="3136" w:type="dxa"/>
                  <w:shd w:val="clear" w:color="auto" w:fill="auto"/>
                  <w:vAlign w:val="top"/>
                </w:tcPr>
                <w:p>
                  <w:pPr>
                    <w:spacing w:line="360" w:lineRule="auto"/>
                    <w:rPr>
                      <w:rFonts w:hint="eastAsia" w:ascii="宋体" w:hAnsi="宋体" w:cs="宋体"/>
                      <w:sz w:val="24"/>
                      <w:szCs w:val="24"/>
                    </w:rPr>
                  </w:pPr>
                  <w:r>
                    <w:rPr>
                      <w:rFonts w:hint="eastAsia" w:ascii="宋体" w:hAnsi="宋体" w:cs="宋体"/>
                      <w:sz w:val="24"/>
                      <w:szCs w:val="24"/>
                    </w:rPr>
                    <w:t>1、对公司人员进行教育培训，增强员工的消防安全意识、增强员工安全用电意识。</w:t>
                  </w:r>
                </w:p>
                <w:p>
                  <w:pPr>
                    <w:spacing w:line="360" w:lineRule="auto"/>
                    <w:rPr>
                      <w:rFonts w:hint="eastAsia" w:ascii="宋体" w:hAnsi="宋体" w:cs="宋体"/>
                      <w:sz w:val="24"/>
                      <w:szCs w:val="24"/>
                    </w:rPr>
                  </w:pPr>
                  <w:r>
                    <w:rPr>
                      <w:rFonts w:hint="eastAsia" w:ascii="宋体" w:hAnsi="宋体" w:cs="宋体"/>
                      <w:sz w:val="24"/>
                      <w:szCs w:val="24"/>
                    </w:rPr>
                    <w:t>2、配备足够的消防器具，定期检查电器设备的使用及老化情况。</w:t>
                  </w:r>
                </w:p>
                <w:p>
                  <w:pPr>
                    <w:spacing w:line="360" w:lineRule="auto"/>
                    <w:rPr>
                      <w:rFonts w:ascii="宋体" w:hAnsi="宋体" w:cs="宋体"/>
                      <w:sz w:val="24"/>
                      <w:szCs w:val="24"/>
                    </w:rPr>
                  </w:pPr>
                  <w:r>
                    <w:rPr>
                      <w:rFonts w:hint="eastAsia" w:ascii="宋体" w:hAnsi="宋体" w:cs="宋体"/>
                      <w:sz w:val="24"/>
                      <w:szCs w:val="24"/>
                    </w:rPr>
                    <w:t>3.定期检查插板开关及有无乱扯电线现象。</w:t>
                  </w:r>
                </w:p>
                <w:p>
                  <w:pPr>
                    <w:spacing w:line="360" w:lineRule="auto"/>
                    <w:rPr>
                      <w:rFonts w:hint="eastAsia" w:ascii="宋体" w:hAnsi="宋体" w:cs="宋体"/>
                      <w:sz w:val="24"/>
                      <w:szCs w:val="24"/>
                    </w:rPr>
                  </w:pPr>
                  <w:r>
                    <w:rPr>
                      <w:rFonts w:hint="eastAsia" w:ascii="宋体" w:hAnsi="宋体" w:cs="宋体"/>
                      <w:sz w:val="24"/>
                      <w:szCs w:val="24"/>
                    </w:rPr>
                    <w:t>4、建立应急预案并定期演练。</w:t>
                  </w:r>
                </w:p>
                <w:p>
                  <w:pPr>
                    <w:spacing w:line="360" w:lineRule="auto"/>
                    <w:rPr>
                      <w:rFonts w:hint="eastAsia" w:ascii="宋体" w:hAnsi="宋体" w:cs="宋体"/>
                      <w:sz w:val="24"/>
                      <w:szCs w:val="24"/>
                    </w:rPr>
                  </w:pPr>
                  <w:r>
                    <w:rPr>
                      <w:rFonts w:hint="eastAsia" w:ascii="宋体" w:hAnsi="宋体" w:cs="宋体"/>
                      <w:sz w:val="24"/>
                      <w:szCs w:val="24"/>
                    </w:rPr>
                    <w:t>5.发放防护用品</w:t>
                  </w:r>
                </w:p>
                <w:p>
                  <w:pPr>
                    <w:spacing w:line="360" w:lineRule="auto"/>
                    <w:rPr>
                      <w:rFonts w:hint="eastAsia" w:ascii="宋体" w:hAnsi="宋体" w:cs="宋体"/>
                      <w:sz w:val="24"/>
                      <w:szCs w:val="24"/>
                    </w:rPr>
                  </w:pPr>
                  <w:r>
                    <w:rPr>
                      <w:rFonts w:hint="eastAsia" w:ascii="宋体" w:hAnsi="宋体" w:cs="宋体"/>
                      <w:sz w:val="24"/>
                      <w:szCs w:val="24"/>
                    </w:rPr>
                    <w:t>6.对办公区域定时进行消毒</w:t>
                  </w:r>
                </w:p>
                <w:p>
                  <w:pPr>
                    <w:spacing w:line="360" w:lineRule="auto"/>
                    <w:rPr>
                      <w:rFonts w:hint="eastAsia" w:ascii="宋体" w:hAnsi="宋体" w:cs="宋体"/>
                      <w:sz w:val="24"/>
                      <w:szCs w:val="24"/>
                    </w:rPr>
                  </w:pPr>
                  <w:r>
                    <w:rPr>
                      <w:rFonts w:hint="eastAsia" w:ascii="宋体" w:hAnsi="宋体" w:cs="宋体"/>
                      <w:sz w:val="24"/>
                      <w:szCs w:val="24"/>
                    </w:rPr>
                    <w:t>7.加强个人防护</w:t>
                  </w:r>
                </w:p>
                <w:p>
                  <w:pPr>
                    <w:widowControl/>
                    <w:spacing w:before="40"/>
                    <w:jc w:val="left"/>
                    <w:rPr>
                      <w:lang w:val="en-GB"/>
                    </w:rPr>
                  </w:pP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numPr>
                      <w:numId w:val="0"/>
                    </w:numPr>
                    <w:spacing w:line="360" w:lineRule="auto"/>
                    <w:ind w:leftChars="200"/>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numPr>
                      <w:numId w:val="0"/>
                    </w:numPr>
                    <w:spacing w:line="360" w:lineRule="auto"/>
                    <w:ind w:leftChars="200"/>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w:t>
            </w:r>
            <w:r>
              <w:rPr>
                <w:rFonts w:hint="eastAsia"/>
              </w:rPr>
              <w:t>平方米；生产车间个；库房个；实验室个；</w:t>
            </w:r>
          </w:p>
          <w:p>
            <w:pPr>
              <w:rPr>
                <w:rFonts w:hint="eastAsia" w:eastAsia="宋体"/>
                <w:u w:val="single"/>
                <w:lang w:eastAsia="zh-CN"/>
              </w:rPr>
            </w:pPr>
            <w:r>
              <w:rPr>
                <w:rFonts w:hint="eastAsia"/>
              </w:rPr>
              <w:t>主要生产设备有：</w:t>
            </w:r>
            <w:r>
              <w:rPr>
                <w:rFonts w:hint="eastAsia"/>
                <w:u w:val="single"/>
                <w:lang w:val="en-US" w:eastAsia="zh-CN"/>
              </w:rPr>
              <w:t>灭火器</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default" w:eastAsia="宋体"/>
                <w:lang w:val="en-US" w:eastAsia="zh-CN"/>
              </w:rPr>
            </w:pPr>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A3"/>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highlight w:val="none"/>
              </w:rPr>
              <w:t>组织的生产和服务提供流程图（</w:t>
            </w:r>
            <w:r>
              <w:rPr>
                <w:rFonts w:hint="eastAsia"/>
              </w:rPr>
              <w:t>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A3"/>
                  </w:r>
                  <w:r>
                    <w:rPr>
                      <w:rFonts w:hint="eastAsia"/>
                    </w:rPr>
                    <w:t>定期检测</w:t>
                  </w:r>
                  <w:r>
                    <w:rPr>
                      <w:rFonts w:hint="eastAsia"/>
                    </w:rPr>
                    <w:sym w:font="Wingdings 2" w:char="0052"/>
                  </w:r>
                  <w:r>
                    <w:rPr>
                      <w:rFonts w:hint="eastAsia"/>
                    </w:rPr>
                    <w:t>压力巡视</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楷体" w:hAnsi="楷体" w:eastAsia="楷体" w:cs="楷体"/>
                      <w:sz w:val="24"/>
                      <w:szCs w:val="24"/>
                    </w:rPr>
                    <w:t>执行管理方案、配备消防器材、应急预案</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highlight w:val="none"/>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5"/>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65E6A"/>
    <w:multiLevelType w:val="singleLevel"/>
    <w:tmpl w:val="8AF65E6A"/>
    <w:lvl w:ilvl="0" w:tentative="0">
      <w:start w:val="1"/>
      <w:numFmt w:val="decimal"/>
      <w:lvlText w:val="%1)"/>
      <w:lvlJc w:val="left"/>
      <w:pPr>
        <w:ind w:left="425" w:hanging="425"/>
      </w:pPr>
      <w:rPr>
        <w:rFonts w:hint="default"/>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241BBB"/>
    <w:rsid w:val="00AE5D3D"/>
    <w:rsid w:val="01CF1937"/>
    <w:rsid w:val="02EC2996"/>
    <w:rsid w:val="03547F3F"/>
    <w:rsid w:val="03CC3F79"/>
    <w:rsid w:val="041419A8"/>
    <w:rsid w:val="06244E71"/>
    <w:rsid w:val="06716058"/>
    <w:rsid w:val="06983A61"/>
    <w:rsid w:val="077C10F6"/>
    <w:rsid w:val="09DC6AAD"/>
    <w:rsid w:val="0C473EB3"/>
    <w:rsid w:val="0CE77AD2"/>
    <w:rsid w:val="10B32574"/>
    <w:rsid w:val="153D4726"/>
    <w:rsid w:val="155B6F0B"/>
    <w:rsid w:val="17213ABE"/>
    <w:rsid w:val="179B3F36"/>
    <w:rsid w:val="1D495CAE"/>
    <w:rsid w:val="1F413615"/>
    <w:rsid w:val="1F8F418C"/>
    <w:rsid w:val="229F2686"/>
    <w:rsid w:val="23290648"/>
    <w:rsid w:val="236E44EF"/>
    <w:rsid w:val="24C76B15"/>
    <w:rsid w:val="258E6E89"/>
    <w:rsid w:val="26C62652"/>
    <w:rsid w:val="27F22645"/>
    <w:rsid w:val="28A13B5E"/>
    <w:rsid w:val="298B1FA0"/>
    <w:rsid w:val="2D14053E"/>
    <w:rsid w:val="33164C7B"/>
    <w:rsid w:val="345A1584"/>
    <w:rsid w:val="34E5656A"/>
    <w:rsid w:val="351D5AA1"/>
    <w:rsid w:val="36474092"/>
    <w:rsid w:val="368F2375"/>
    <w:rsid w:val="37C32EA1"/>
    <w:rsid w:val="3C34763D"/>
    <w:rsid w:val="402A21B3"/>
    <w:rsid w:val="41CE332F"/>
    <w:rsid w:val="42B957FA"/>
    <w:rsid w:val="47304C6B"/>
    <w:rsid w:val="48626132"/>
    <w:rsid w:val="4A401964"/>
    <w:rsid w:val="4D565C2E"/>
    <w:rsid w:val="4FAC5499"/>
    <w:rsid w:val="512B1B11"/>
    <w:rsid w:val="517A4A6F"/>
    <w:rsid w:val="559D264C"/>
    <w:rsid w:val="57AC3FDC"/>
    <w:rsid w:val="5EB56C59"/>
    <w:rsid w:val="5F1C4BD0"/>
    <w:rsid w:val="67135DB2"/>
    <w:rsid w:val="689D108C"/>
    <w:rsid w:val="69C95A2B"/>
    <w:rsid w:val="6D0C556E"/>
    <w:rsid w:val="6DF22E51"/>
    <w:rsid w:val="6F2F02EF"/>
    <w:rsid w:val="6F574962"/>
    <w:rsid w:val="71D60F68"/>
    <w:rsid w:val="7367460E"/>
    <w:rsid w:val="748C2BE1"/>
    <w:rsid w:val="77175E27"/>
    <w:rsid w:val="7A197CD0"/>
    <w:rsid w:val="7AF05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qFormat/>
    <w:uiPriority w:val="0"/>
    <w:rPr>
      <w:kern w:val="2"/>
      <w:sz w:val="18"/>
      <w:szCs w:val="18"/>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7">
    <w:name w:val="font3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18634</Words>
  <Characters>19608</Characters>
  <Lines>150</Lines>
  <Paragraphs>42</Paragraphs>
  <TotalTime>2</TotalTime>
  <ScaleCrop>false</ScaleCrop>
  <LinksUpToDate>false</LinksUpToDate>
  <CharactersWithSpaces>19729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2022-07-23T18:29:52Z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