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0869-2022-QEO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雄县雄州镇洪斌超市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雄县雄州镇洪斌超市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雄县县医院对过</w:t>
            </w:r>
            <w:bookmarkEnd w:id="6"/>
          </w:p>
        </w:tc>
        <w:tc>
          <w:tcPr>
            <w:tcW w:w="1242" w:type="dxa"/>
            <w:vMerge w:val="restart"/>
            <w:vAlign w:val="center"/>
          </w:tcPr>
          <w:p>
            <w:r>
              <w:rPr>
                <w:rFonts w:hint="eastAsia"/>
              </w:rPr>
              <w:t>邮编</w:t>
            </w:r>
          </w:p>
        </w:tc>
        <w:tc>
          <w:tcPr>
            <w:tcW w:w="1771" w:type="dxa"/>
          </w:tcPr>
          <w:p>
            <w:bookmarkStart w:id="7" w:name="注册邮编"/>
            <w:r>
              <w:t>071800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雄县县医院对过</w:t>
            </w:r>
            <w:bookmarkEnd w:id="8"/>
          </w:p>
        </w:tc>
        <w:tc>
          <w:tcPr>
            <w:tcW w:w="1242" w:type="dxa"/>
            <w:vMerge w:val="continue"/>
            <w:vAlign w:val="center"/>
          </w:tcPr>
          <w:p/>
        </w:tc>
        <w:tc>
          <w:tcPr>
            <w:tcW w:w="1771" w:type="dxa"/>
          </w:tcPr>
          <w:p>
            <w:bookmarkStart w:id="9" w:name="办公邮编"/>
            <w:r>
              <w:t>071800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王会田</w:t>
            </w:r>
            <w:bookmarkEnd w:id="10"/>
          </w:p>
        </w:tc>
        <w:tc>
          <w:tcPr>
            <w:tcW w:w="1313" w:type="dxa"/>
            <w:vAlign w:val="center"/>
          </w:tcPr>
          <w:p>
            <w:r>
              <w:rPr>
                <w:rFonts w:hint="eastAsia"/>
              </w:rPr>
              <w:t>电话.</w:t>
            </w:r>
          </w:p>
        </w:tc>
        <w:tc>
          <w:tcPr>
            <w:tcW w:w="2180" w:type="dxa"/>
            <w:vAlign w:val="center"/>
          </w:tcPr>
          <w:p>
            <w:bookmarkStart w:id="11" w:name="联系人电话"/>
            <w:r>
              <w:t>13933205801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王会田</w:t>
            </w:r>
            <w:bookmarkEnd w:id="13"/>
          </w:p>
        </w:tc>
        <w:tc>
          <w:tcPr>
            <w:tcW w:w="1313" w:type="dxa"/>
            <w:vAlign w:val="center"/>
          </w:tcPr>
          <w:p>
            <w:r>
              <w:rPr>
                <w:rFonts w:hint="eastAsia"/>
              </w:rPr>
              <w:t>管理者代表</w:t>
            </w:r>
          </w:p>
        </w:tc>
        <w:tc>
          <w:tcPr>
            <w:tcW w:w="2180" w:type="dxa"/>
          </w:tcPr>
          <w:p>
            <w:bookmarkStart w:id="14" w:name="管理者代表"/>
            <w:r>
              <w:t>王会田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1"/>
                <w:szCs w:val="21"/>
                <w:lang w:val="en-US" w:eastAsia="zh-CN" w:bidi="ar-SA"/>
              </w:rPr>
              <w:t>商品采购---采购验收---商品入库---商品陈列---零售---售后服务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2022年07月13日 下午至2022年07月14日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Q：预包装食品、蔬菜、水果、生肉、粮油、日用杂货的零售</w:t>
            </w:r>
          </w:p>
          <w:p>
            <w:r>
              <w:t>E：预包装食品、蔬菜、水果、生肉、粮油、日用杂货的零售所涉及场所的相关环境管理活动</w:t>
            </w:r>
          </w:p>
          <w:p>
            <w:r>
              <w:t>O：预包装食品、蔬菜、水果、生肉、粮油、日用杂货的零售所涉及场所的相关职业健康安全管理活动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Q：29.13.01;29.14.01;29.14.02;29.14.07</w:t>
            </w:r>
          </w:p>
          <w:p>
            <w:r>
              <w:t>E：29.13.01;29.14.01;29.14.02;29.14.07</w:t>
            </w:r>
          </w:p>
          <w:p>
            <w:r>
              <w:t>O：29.13.01;29.14.01;29.14.02;29.14.07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2022年1月5日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雄县雄州镇洪斌超市</w:t>
            </w:r>
            <w:r>
              <w:rPr>
                <w:rFonts w:hint="eastAsia"/>
                <w:sz w:val="21"/>
                <w:szCs w:val="21"/>
                <w:lang w:val="en-US" w:eastAsia="zh-CN"/>
              </w:rPr>
              <w:t>/</w:t>
            </w:r>
            <w:r>
              <w:rPr>
                <w:rFonts w:asciiTheme="minorEastAsia" w:hAnsiTheme="minorEastAsia" w:eastAsiaTheme="minorEastAsia"/>
                <w:sz w:val="20"/>
              </w:rPr>
              <w:t>雄县县医院对过</w:t>
            </w:r>
          </w:p>
        </w:tc>
        <w:tc>
          <w:tcPr>
            <w:tcW w:w="2267" w:type="dxa"/>
          </w:tcPr>
          <w:p>
            <w:pPr>
              <w:rPr>
                <w:lang w:val="de-DE" w:eastAsia="ja-JP"/>
              </w:rPr>
            </w:pPr>
            <w:r>
              <w:rPr>
                <w:rFonts w:asciiTheme="minorEastAsia" w:hAnsiTheme="minorEastAsia" w:eastAsiaTheme="minorEastAsia"/>
                <w:sz w:val="20"/>
              </w:rPr>
              <w:t>雄县县医院对过</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sz w:val="20"/>
              </w:rPr>
            </w:pPr>
            <w:r>
              <w:rPr>
                <w:sz w:val="20"/>
              </w:rPr>
              <w:t>Q：预包装食品、蔬菜、水果、生肉、粮油、日用杂货的零售</w:t>
            </w:r>
          </w:p>
          <w:p>
            <w:pPr>
              <w:rPr>
                <w:sz w:val="20"/>
              </w:rPr>
            </w:pPr>
            <w:r>
              <w:rPr>
                <w:sz w:val="20"/>
              </w:rPr>
              <w:t>E：预包装食品、蔬菜、水果、生肉、粮油、日用杂货的零售所涉及场所的相关环境管理活动</w:t>
            </w:r>
          </w:p>
          <w:p>
            <w:pPr>
              <w:rPr>
                <w:lang w:eastAsia="ja-JP"/>
              </w:rPr>
            </w:pPr>
            <w:r>
              <w:rPr>
                <w:sz w:val="20"/>
              </w:rPr>
              <w:t>O：预包装食品、蔬菜、水果、生肉、粮油、日用杂货的零售所涉及场所的相关职业健康安全管理活动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E:29.13.01,29.14.01,29.14.02,29.14.07</w:t>
            </w:r>
          </w:p>
          <w:p>
            <w:r>
              <w:t>O:29.13.01,29.14.01,29.14.02,29.14.07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Q:29.13.01,29.14.01,29.14.02,29.14.07</w:t>
            </w:r>
          </w:p>
          <w:p>
            <w:r>
              <w:t>E:29.13.01,29.14.01,29.14.02,29.14.07</w:t>
            </w:r>
          </w:p>
          <w:p>
            <w:r>
              <w:t>O:29.13.01,29.14.01,29.14.02,29.14.07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预包装食品、蔬菜、水果、生肉、粮油、日用杂货的零售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预包装食品、蔬菜、水果、生肉、粮油、日用杂货的零售所涉及场所的相关环境管理活动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预包装食品、蔬菜、水果、生肉、粮油、日用杂货的零售所涉及场所的相关职业健康安全管理活动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447675</wp:posOffset>
                  </wp:positionH>
                  <wp:positionV relativeFrom="paragraph">
                    <wp:posOffset>69215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u w:val="single"/>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产品交付顾客验收合格率100%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 w:val="24"/>
                    </w:rPr>
                    <w:t>合格</w:t>
                  </w:r>
                  <w:r>
                    <w:rPr>
                      <w:rFonts w:hint="eastAsia" w:ascii="宋体" w:hAnsi="宋体"/>
                      <w:sz w:val="24"/>
                      <w:lang w:val="en-US" w:eastAsia="zh-CN"/>
                    </w:rPr>
                    <w:t>次数</w:t>
                  </w:r>
                  <w:r>
                    <w:rPr>
                      <w:rFonts w:hint="eastAsia" w:ascii="宋体" w:hAnsi="宋体"/>
                      <w:sz w:val="24"/>
                    </w:rPr>
                    <w:t>/交付批次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顾客满意度≥90%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销售服务质量考核合格率≥95%</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sz w:val="24"/>
                      <w:lang w:val="en-US" w:eastAsia="zh-CN"/>
                    </w:rPr>
                    <w:t>考核合格率</w:t>
                  </w:r>
                  <w:r>
                    <w:rPr>
                      <w:rFonts w:hint="eastAsia" w:ascii="宋体" w:hAnsi="宋体"/>
                      <w:sz w:val="24"/>
                    </w:rPr>
                    <w:t>/</w:t>
                  </w:r>
                  <w:r>
                    <w:rPr>
                      <w:rFonts w:hint="eastAsia" w:ascii="宋体" w:hAnsi="宋体"/>
                      <w:sz w:val="24"/>
                      <w:lang w:val="en-US" w:eastAsia="zh-CN"/>
                    </w:rPr>
                    <w:t>考核次数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电脑、电子秤</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电子秤</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零售服务</w:t>
                  </w:r>
                </w:p>
              </w:tc>
              <w:tc>
                <w:tcPr>
                  <w:tcW w:w="3665" w:type="dxa"/>
                </w:tcPr>
                <w:p>
                  <w:pPr>
                    <w:shd w:val="clear" w:color="auto" w:fill="C7DAF1" w:themeFill="text2" w:themeFillTint="32"/>
                    <w:jc w:val="left"/>
                  </w:pPr>
                  <w:r>
                    <w:rPr>
                      <w:rFonts w:hint="eastAsia"/>
                      <w:lang w:val="en-US" w:eastAsia="zh-CN"/>
                    </w:rPr>
                    <w:t>零售服务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零售服务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2022年5月26日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ascii="Times New Roman" w:hAnsi="Times New Roman" w:eastAsia="宋体" w:cs="Times New Roman"/>
                <w:kern w:val="2"/>
                <w:sz w:val="21"/>
                <w:szCs w:val="24"/>
                <w:highlight w:val="cyan"/>
                <w:lang w:val="en-US" w:eastAsia="zh-CN" w:bidi="ar-SA"/>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电脑，电子秤</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2022年3月30日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2022年5月12日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2022年5月26日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pPr>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w:t>
            </w:r>
          </w:p>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ascii="Times New Roman" w:hAnsi="Times New Roman" w:eastAsia="宋体" w:cs="Times New Roman"/>
                <w:kern w:val="2"/>
                <w:sz w:val="21"/>
                <w:szCs w:val="24"/>
                <w:lang w:val="en-US" w:eastAsia="zh-CN" w:bidi="ar-S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p>
            <w:pPr>
              <w:rPr>
                <w:rFonts w:hint="eastAsia" w:ascii="Times New Roman" w:hAnsi="Times New Roman" w:eastAsia="宋体" w:cs="Times New Roman"/>
                <w:kern w:val="2"/>
                <w:sz w:val="21"/>
                <w:szCs w:val="24"/>
                <w:lang w:val="en-US" w:eastAsia="zh-CN" w:bidi="ar-SA"/>
              </w:rPr>
            </w:pPr>
            <w:r>
              <w:rPr>
                <w:rFonts w:hint="eastAsia"/>
              </w:rPr>
              <w:t>员工代表是——</w:t>
            </w:r>
            <w:r>
              <w:rPr>
                <w:rFonts w:hint="eastAsia"/>
                <w:lang w:val="en-US" w:eastAsia="zh-CN"/>
              </w:rPr>
              <w:t>刘会仙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ascii="Times New Roman" w:hAnsi="Times New Roman" w:eastAsia="宋体" w:cs="Times New Roman"/>
                <w:kern w:val="2"/>
                <w:sz w:val="21"/>
                <w:szCs w:val="24"/>
                <w:highlight w:val="cyan"/>
                <w:lang w:val="en-US" w:eastAsia="zh-CN" w:bidi="ar-SA"/>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rFonts w:ascii="Times New Roman" w:hAnsi="Times New Roman" w:eastAsia="宋体" w:cs="Times New Roman"/>
                <w:kern w:val="2"/>
                <w:sz w:val="21"/>
                <w:szCs w:val="24"/>
                <w:highlight w:val="cyan"/>
                <w:lang w:val="en-US" w:eastAsia="zh-CN" w:bidi="ar-SA"/>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asciiTheme="minorEastAsia" w:hAnsiTheme="minorEastAsia" w:eastAsiaTheme="minorEastAsia"/>
                      <w:color w:val="auto"/>
                      <w:kern w:val="0"/>
                      <w:sz w:val="21"/>
                      <w:szCs w:val="21"/>
                    </w:rPr>
                    <w:t>杜绝火灾触电事故</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lang w:val="en-US" w:eastAsia="zh-CN"/>
              </w:rPr>
              <w:t>电脑、电子秤</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2022年3月30日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2022年5月12日</w:t>
            </w:r>
          </w:p>
          <w:p>
            <w:r>
              <w:rPr>
                <w:rFonts w:hint="eastAsia" w:ascii="Wingdings" w:hAnsi="Wingdings"/>
                <w:lang w:eastAsia="zh-CN"/>
              </w:rPr>
              <w:t>□</w:t>
            </w:r>
            <w:r>
              <w:rPr>
                <w:rFonts w:hint="eastAsia"/>
              </w:rPr>
              <w:t>特殊情况（法规变化）：年月日</w:t>
            </w:r>
          </w:p>
          <w:p>
            <w:pPr>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2022年5月26日</w:t>
            </w:r>
            <w:r>
              <w:rPr>
                <w:rFonts w:hint="eastAsia"/>
              </w:rPr>
              <w:t>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7.4</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7.5</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8.2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9.2</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w:t>
            </w:r>
            <w:bookmarkStart w:id="34" w:name="_GoBack"/>
            <w:bookmarkEnd w:id="34"/>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tcBorders>
              <w:bottom w:val="single" w:color="auto" w:sz="4" w:space="0"/>
            </w:tcBorders>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10.2</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10.3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UyMDZhNzQwNjM5MDdiNDI2ODlmYjBkNjBlYTY2ZTEifQ=="/>
  </w:docVars>
  <w:rsids>
    <w:rsidRoot w:val="00000000"/>
    <w:rsid w:val="3C42564C"/>
    <w:rsid w:val="46B10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18674</Words>
  <Characters>19696</Characters>
  <Lines>150</Lines>
  <Paragraphs>42</Paragraphs>
  <TotalTime>0</TotalTime>
  <ScaleCrop>false</ScaleCrop>
  <LinksUpToDate>false</LinksUpToDate>
  <CharactersWithSpaces>19817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2022-08-01T11:49:54Z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