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637"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管理层</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rPr>
              <w:t>：</w:t>
            </w:r>
            <w:r>
              <w:rPr>
                <w:rFonts w:hint="eastAsia"/>
                <w:color w:val="auto"/>
                <w:sz w:val="24"/>
                <w:szCs w:val="24"/>
                <w:highlight w:val="none"/>
                <w:lang w:val="en-US" w:eastAsia="zh-CN"/>
              </w:rPr>
              <w:t>龙继承           陪同人员：彭光辉</w:t>
            </w:r>
          </w:p>
        </w:tc>
        <w:tc>
          <w:tcPr>
            <w:tcW w:w="952"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637"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杨珍全           </w:t>
            </w:r>
            <w:r>
              <w:rPr>
                <w:rFonts w:hint="eastAsia"/>
                <w:color w:val="auto"/>
                <w:sz w:val="24"/>
                <w:szCs w:val="24"/>
                <w:highlight w:val="none"/>
              </w:rPr>
              <w:t>审核时间：</w:t>
            </w:r>
            <w:r>
              <w:rPr>
                <w:rFonts w:hint="eastAsia"/>
                <w:color w:val="auto"/>
                <w:sz w:val="24"/>
                <w:szCs w:val="24"/>
                <w:highlight w:val="none"/>
                <w:lang w:val="en-US" w:eastAsia="zh-CN"/>
              </w:rPr>
              <w:t>2022年7月30日</w:t>
            </w:r>
          </w:p>
        </w:tc>
        <w:tc>
          <w:tcPr>
            <w:tcW w:w="952"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637" w:type="dxa"/>
            <w:vAlign w:val="center"/>
          </w:tcPr>
          <w:p>
            <w:pPr>
              <w:rPr>
                <w:rFonts w:hint="eastAsia"/>
                <w:color w:val="auto"/>
                <w:sz w:val="24"/>
                <w:szCs w:val="24"/>
                <w:highlight w:val="none"/>
              </w:rPr>
            </w:pPr>
            <w:r>
              <w:rPr>
                <w:rFonts w:hint="eastAsia"/>
                <w:color w:val="auto"/>
                <w:sz w:val="24"/>
                <w:szCs w:val="24"/>
                <w:highlight w:val="none"/>
              </w:rPr>
              <w:t>审核条款：</w:t>
            </w:r>
          </w:p>
          <w:p>
            <w:pPr>
              <w:rPr>
                <w:color w:val="auto"/>
                <w:sz w:val="24"/>
                <w:szCs w:val="24"/>
                <w:highlight w:val="none"/>
              </w:rPr>
            </w:pPr>
            <w:r>
              <w:rPr>
                <w:rFonts w:hint="eastAsia" w:ascii="宋体" w:hAnsi="宋体" w:cs="Times New Roman"/>
                <w:color w:val="auto"/>
                <w:sz w:val="18"/>
                <w:szCs w:val="18"/>
                <w:highlight w:val="none"/>
              </w:rPr>
              <w:t>4.1组织及其环境;4.2相关方需求与期望;4.3确定体系范围;4.4体系;5.1领导作用与承诺;5.2方针;5.3组织的角色、职责和权限；6.1</w:t>
            </w:r>
            <w:r>
              <w:rPr>
                <w:rFonts w:hint="eastAsia" w:ascii="宋体" w:hAnsi="宋体" w:cs="宋体"/>
                <w:color w:val="auto"/>
                <w:sz w:val="18"/>
                <w:szCs w:val="18"/>
                <w:highlight w:val="none"/>
              </w:rPr>
              <w:t>应对风险和机遇的措施</w:t>
            </w:r>
            <w:r>
              <w:rPr>
                <w:rFonts w:hint="eastAsia" w:ascii="宋体" w:hAnsi="宋体" w:cs="Times New Roman"/>
                <w:color w:val="auto"/>
                <w:sz w:val="18"/>
                <w:szCs w:val="18"/>
                <w:highlight w:val="none"/>
              </w:rPr>
              <w:t>；6.1.4措施的策划；6.2目标及其实现的策划；7.1资源；7.4沟通；9.1.1监测、分析和评估总则；9.3管理评审；10.1改进 总则；10.3持续改进</w:t>
            </w:r>
            <w:r>
              <w:rPr>
                <w:rFonts w:hint="eastAsia" w:ascii="宋体" w:hAnsi="宋体" w:cs="Times New Roman"/>
                <w:color w:val="auto"/>
                <w:sz w:val="18"/>
                <w:szCs w:val="18"/>
                <w:highlight w:val="none"/>
                <w:lang w:eastAsia="zh-CN"/>
              </w:rPr>
              <w:t>；</w:t>
            </w:r>
            <w:r>
              <w:rPr>
                <w:rFonts w:hint="eastAsia" w:ascii="宋体" w:hAnsi="宋体"/>
                <w:color w:val="auto"/>
                <w:sz w:val="18"/>
                <w:szCs w:val="18"/>
                <w:highlight w:val="none"/>
                <w:lang w:eastAsia="zh-CN"/>
              </w:rPr>
              <w:t>范围的确认、资质的确认、法律法规执行情况、环保抽查及相关投诉情况、</w:t>
            </w:r>
            <w:r>
              <w:rPr>
                <w:rFonts w:hint="eastAsia" w:ascii="宋体" w:hAnsi="宋体"/>
                <w:color w:val="auto"/>
                <w:sz w:val="18"/>
                <w:szCs w:val="18"/>
                <w:highlight w:val="none"/>
                <w:lang w:val="en-US" w:eastAsia="zh-CN"/>
              </w:rPr>
              <w:t>一阶段问题验证</w:t>
            </w:r>
          </w:p>
        </w:tc>
        <w:tc>
          <w:tcPr>
            <w:tcW w:w="952"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vAlign w:val="top"/>
          </w:tcPr>
          <w:p>
            <w:pPr>
              <w:rPr>
                <w:rFonts w:hint="eastAsia" w:ascii="宋体" w:hAnsi="宋体" w:cs="宋体"/>
                <w:color w:val="auto"/>
                <w:szCs w:val="21"/>
                <w:highlight w:val="none"/>
              </w:rPr>
            </w:pPr>
            <w:r>
              <w:rPr>
                <w:rFonts w:hint="eastAsia" w:ascii="宋体" w:hAnsi="宋体" w:cs="宋体"/>
                <w:color w:val="auto"/>
                <w:szCs w:val="21"/>
                <w:highlight w:val="none"/>
              </w:rPr>
              <w:t>组织及其环境;</w:t>
            </w:r>
          </w:p>
          <w:p>
            <w:pPr>
              <w:rPr>
                <w:rFonts w:hint="eastAsia" w:ascii="宋体" w:hAnsi="宋体" w:cs="宋体"/>
                <w:color w:val="auto"/>
                <w:szCs w:val="21"/>
                <w:highlight w:val="none"/>
              </w:rPr>
            </w:pPr>
            <w:r>
              <w:rPr>
                <w:rFonts w:hint="eastAsia" w:ascii="宋体" w:hAnsi="宋体" w:cs="宋体"/>
                <w:color w:val="auto"/>
                <w:szCs w:val="21"/>
                <w:highlight w:val="none"/>
              </w:rPr>
              <w:t>相关方需求与期望;</w:t>
            </w:r>
          </w:p>
          <w:p>
            <w:pPr>
              <w:rPr>
                <w:rFonts w:hint="eastAsia" w:ascii="宋体" w:hAnsi="宋体" w:cs="宋体"/>
                <w:color w:val="auto"/>
                <w:szCs w:val="21"/>
                <w:highlight w:val="none"/>
              </w:rPr>
            </w:pPr>
            <w:r>
              <w:rPr>
                <w:rFonts w:hint="eastAsia" w:ascii="宋体" w:hAnsi="宋体" w:cs="宋体"/>
                <w:color w:val="auto"/>
                <w:szCs w:val="21"/>
                <w:highlight w:val="none"/>
              </w:rPr>
              <w:t>确定体系范围;</w:t>
            </w:r>
          </w:p>
          <w:p>
            <w:pPr>
              <w:rPr>
                <w:rFonts w:hint="eastAsia" w:ascii="宋体" w:hAnsi="宋体" w:cs="宋体"/>
                <w:color w:val="auto"/>
                <w:szCs w:val="21"/>
                <w:highlight w:val="none"/>
              </w:rPr>
            </w:pPr>
            <w:r>
              <w:rPr>
                <w:rFonts w:hint="eastAsia" w:ascii="宋体" w:hAnsi="宋体" w:cs="宋体"/>
                <w:color w:val="auto"/>
                <w:szCs w:val="21"/>
                <w:highlight w:val="none"/>
              </w:rPr>
              <w:t>体系及其过程;</w:t>
            </w:r>
          </w:p>
          <w:p>
            <w:pPr>
              <w:rPr>
                <w:rFonts w:hint="eastAsia" w:ascii="宋体" w:hAnsi="宋体" w:cs="宋体"/>
                <w:color w:val="auto"/>
                <w:szCs w:val="21"/>
                <w:highlight w:val="none"/>
              </w:rPr>
            </w:pPr>
            <w:r>
              <w:rPr>
                <w:rFonts w:hint="eastAsia" w:ascii="宋体" w:hAnsi="宋体" w:cs="宋体"/>
                <w:color w:val="auto"/>
                <w:szCs w:val="21"/>
                <w:highlight w:val="none"/>
              </w:rPr>
              <w:t>总要求</w:t>
            </w:r>
          </w:p>
          <w:p>
            <w:pPr>
              <w:rPr>
                <w:rFonts w:hint="eastAsia" w:ascii="宋体" w:hAnsi="宋体" w:cs="宋体"/>
                <w:color w:val="auto"/>
                <w:szCs w:val="21"/>
                <w:highlight w:val="none"/>
              </w:rPr>
            </w:pPr>
          </w:p>
          <w:p>
            <w:pPr>
              <w:adjustRightInd w:val="0"/>
              <w:snapToGrid w:val="0"/>
              <w:jc w:val="center"/>
              <w:rPr>
                <w:rFonts w:ascii="Times New Roman" w:hAnsi="Times New Roman" w:eastAsia="宋体" w:cs="Times New Roman"/>
                <w:color w:val="auto"/>
                <w:kern w:val="2"/>
                <w:sz w:val="21"/>
                <w:highlight w:val="none"/>
                <w:lang w:val="en-US" w:eastAsia="zh-CN" w:bidi="ar-SA"/>
              </w:rPr>
            </w:pPr>
          </w:p>
        </w:tc>
        <w:tc>
          <w:tcPr>
            <w:tcW w:w="960" w:type="dxa"/>
            <w:vAlign w:val="top"/>
          </w:tcPr>
          <w:p>
            <w:pPr>
              <w:adjustRightInd w:val="0"/>
              <w:snapToGrid w:val="0"/>
              <w:rPr>
                <w:rFonts w:hint="eastAsia" w:ascii="宋体" w:hAnsi="宋体" w:cs="宋体"/>
                <w:color w:val="auto"/>
                <w:kern w:val="1"/>
                <w:szCs w:val="21"/>
                <w:highlight w:val="none"/>
              </w:rPr>
            </w:pPr>
            <w:r>
              <w:rPr>
                <w:rFonts w:hint="eastAsia" w:ascii="宋体" w:hAnsi="宋体" w:cs="宋体"/>
                <w:color w:val="auto"/>
                <w:kern w:val="1"/>
                <w:szCs w:val="21"/>
                <w:highlight w:val="none"/>
              </w:rPr>
              <w:t>4.1;4.2;4.3;4.4</w:t>
            </w:r>
          </w:p>
          <w:p>
            <w:pPr>
              <w:adjustRightInd w:val="0"/>
              <w:snapToGrid w:val="0"/>
              <w:rPr>
                <w:rFonts w:ascii="Times New Roman" w:hAnsi="Times New Roman" w:eastAsia="宋体" w:cs="Times New Roman"/>
                <w:color w:val="auto"/>
                <w:kern w:val="2"/>
                <w:sz w:val="21"/>
                <w:highlight w:val="none"/>
                <w:lang w:val="en-US" w:eastAsia="zh-CN" w:bidi="ar-SA"/>
              </w:rPr>
            </w:pPr>
          </w:p>
        </w:tc>
        <w:tc>
          <w:tcPr>
            <w:tcW w:w="10637" w:type="dxa"/>
            <w:vAlign w:val="top"/>
          </w:tcPr>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highlight w:val="none"/>
                <w:lang w:val="en-US" w:eastAsia="zh-CN" w:bidi="ar"/>
              </w:rPr>
              <w:t>品质要求不断提高</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抽查关于内、外部环境评审记录</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份，记录清晰。</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公司确定的相关方有员工、供应商、客户</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政府机构、银行</w:t>
            </w:r>
            <w:r>
              <w:rPr>
                <w:rFonts w:hint="eastAsia" w:ascii="宋体" w:hAnsi="宋体" w:cs="宋体"/>
                <w:color w:val="auto"/>
                <w:sz w:val="21"/>
                <w:szCs w:val="21"/>
                <w:highlight w:val="none"/>
                <w:lang w:bidi="ar"/>
              </w:rPr>
              <w:t>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理解员工诉求的形式为谈心、茶话会等；理解</w:t>
            </w:r>
            <w:r>
              <w:rPr>
                <w:rFonts w:hint="eastAsia" w:ascii="宋体" w:hAnsi="宋体" w:cs="宋体"/>
                <w:color w:val="auto"/>
                <w:sz w:val="21"/>
                <w:szCs w:val="21"/>
                <w:highlight w:val="none"/>
                <w:lang w:val="en-US" w:eastAsia="zh-CN" w:bidi="ar"/>
              </w:rPr>
              <w:t>客户</w:t>
            </w:r>
            <w:r>
              <w:rPr>
                <w:rFonts w:hint="eastAsia" w:ascii="宋体" w:hAnsi="宋体" w:cs="宋体"/>
                <w:color w:val="auto"/>
                <w:sz w:val="21"/>
                <w:szCs w:val="21"/>
                <w:highlight w:val="none"/>
                <w:lang w:bidi="ar"/>
              </w:rPr>
              <w:t>等相关方的形式主要为电话沟通、上门拜访等；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公司</w:t>
            </w:r>
            <w:r>
              <w:rPr>
                <w:rFonts w:hint="eastAsia" w:ascii="宋体" w:hAnsi="宋体" w:cs="宋体"/>
                <w:color w:val="auto"/>
                <w:sz w:val="21"/>
                <w:szCs w:val="21"/>
                <w:highlight w:val="none"/>
                <w:lang w:val="en-US" w:eastAsia="zh-CN" w:bidi="ar"/>
              </w:rPr>
              <w:t>环境</w:t>
            </w:r>
            <w:r>
              <w:rPr>
                <w:rFonts w:hint="eastAsia" w:ascii="宋体" w:hAnsi="宋体" w:cs="宋体"/>
                <w:color w:val="auto"/>
                <w:sz w:val="21"/>
                <w:szCs w:val="21"/>
                <w:highlight w:val="none"/>
                <w:lang w:bidi="ar"/>
              </w:rPr>
              <w:t>管理体系的范围是：</w:t>
            </w:r>
            <w:r>
              <w:rPr>
                <w:rFonts w:hint="eastAsia" w:ascii="宋体" w:hAnsi="宋体"/>
                <w:color w:val="auto"/>
                <w:sz w:val="21"/>
                <w:szCs w:val="21"/>
                <w:highlight w:val="none"/>
                <w:lang w:eastAsia="zh-CN"/>
              </w:rPr>
              <w:t>塑胶制品、纸制品、木制品、金属制品的销售所涉及场所的相关环境管理活动</w:t>
            </w:r>
            <w:r>
              <w:rPr>
                <w:rFonts w:hint="eastAsia" w:ascii="宋体" w:hAnsi="宋体" w:cs="宋体"/>
                <w:color w:val="auto"/>
                <w:sz w:val="21"/>
                <w:szCs w:val="21"/>
                <w:highlight w:val="none"/>
                <w:lang w:eastAsia="zh-CN"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经识别，组织依据标准的要求建立、实施、维护管理体系，符合标准要求。</w:t>
            </w:r>
          </w:p>
          <w:p>
            <w:pPr>
              <w:spacing w:line="400" w:lineRule="exac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bidi="ar"/>
              </w:rPr>
              <w:t>公司通过请咨询专家到公司来宣传、培训，建立了环境管理体系。组织制定</w:t>
            </w:r>
            <w:r>
              <w:rPr>
                <w:rFonts w:hint="eastAsia" w:ascii="宋体" w:hAnsi="宋体" w:cs="宋体"/>
                <w:color w:val="auto"/>
                <w:sz w:val="21"/>
                <w:szCs w:val="21"/>
                <w:highlight w:val="none"/>
                <w:lang w:eastAsia="zh-CN" w:bidi="ar"/>
              </w:rPr>
              <w:t>管理评审控制程序</w:t>
            </w:r>
            <w:r>
              <w:rPr>
                <w:rFonts w:hint="eastAsia" w:ascii="宋体" w:hAnsi="宋体" w:cs="宋体"/>
                <w:color w:val="auto"/>
                <w:sz w:val="21"/>
                <w:szCs w:val="21"/>
                <w:highlight w:val="none"/>
                <w:lang w:bidi="ar"/>
              </w:rPr>
              <w:t>，定期进行评审，必要时变更过程，以确保过程持续产生公司期望的结果。</w:t>
            </w:r>
          </w:p>
        </w:tc>
        <w:tc>
          <w:tcPr>
            <w:tcW w:w="952"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center"/>
          </w:tcPr>
          <w:p>
            <w:pPr>
              <w:spacing w:line="400" w:lineRule="exact"/>
              <w:rPr>
                <w:rFonts w:hint="eastAsia" w:eastAsia="宋体"/>
                <w:color w:val="auto"/>
                <w:highlight w:val="none"/>
                <w:lang w:eastAsia="zh-CN"/>
              </w:rPr>
            </w:pPr>
            <w:r>
              <w:rPr>
                <w:rFonts w:hint="eastAsia"/>
                <w:color w:val="auto"/>
                <w:highlight w:val="none"/>
                <w:lang w:eastAsia="zh-CN"/>
              </w:rPr>
              <w:t>领导的作用</w:t>
            </w:r>
          </w:p>
        </w:tc>
        <w:tc>
          <w:tcPr>
            <w:tcW w:w="960" w:type="dxa"/>
            <w:vAlign w:val="center"/>
          </w:tcPr>
          <w:p>
            <w:pPr>
              <w:rPr>
                <w:rFonts w:hint="default" w:eastAsia="宋体"/>
                <w:b/>
                <w:color w:val="auto"/>
                <w:highlight w:val="none"/>
                <w:lang w:val="en-US" w:eastAsia="zh-CN"/>
              </w:rPr>
            </w:pPr>
            <w:r>
              <w:rPr>
                <w:rFonts w:hint="eastAsia"/>
                <w:b/>
                <w:color w:val="auto"/>
                <w:highlight w:val="none"/>
                <w:lang w:val="en-US" w:eastAsia="zh-CN"/>
              </w:rPr>
              <w:t>5.1</w:t>
            </w:r>
          </w:p>
        </w:tc>
        <w:tc>
          <w:tcPr>
            <w:tcW w:w="10637" w:type="dxa"/>
            <w:vAlign w:val="top"/>
          </w:tcPr>
          <w:p>
            <w:pPr>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总经理：</w:t>
            </w:r>
            <w:r>
              <w:rPr>
                <w:rFonts w:hint="eastAsia" w:ascii="宋体" w:hAnsi="宋体" w:cs="宋体"/>
                <w:color w:val="auto"/>
                <w:sz w:val="21"/>
                <w:szCs w:val="21"/>
                <w:highlight w:val="none"/>
                <w:lang w:eastAsia="zh-CN" w:bidi="ar"/>
              </w:rPr>
              <w:t>龙继承</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魏干传</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2、制定和发布公司自身管理方针；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highlight w:val="none"/>
              </w:rPr>
            </w:pPr>
            <w:r>
              <w:rPr>
                <w:rFonts w:hint="eastAsia" w:ascii="宋体" w:hAnsi="宋体" w:cs="宋体"/>
                <w:color w:val="auto"/>
                <w:sz w:val="21"/>
                <w:szCs w:val="21"/>
                <w:highlight w:val="none"/>
                <w:lang w:bidi="ar"/>
              </w:rPr>
              <w:t>5、为确保建立、运行和持续改进管理体系所需的一切资源得到满足，公司提供了信息、技术、人力、设备、环境和资金等必要资源。</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highlight w:val="none"/>
              </w:rPr>
            </w:pPr>
            <w:r>
              <w:rPr>
                <w:rFonts w:hint="eastAsia" w:ascii="宋体" w:hAnsi="宋体" w:cs="宋体"/>
                <w:color w:val="auto"/>
                <w:sz w:val="21"/>
                <w:szCs w:val="21"/>
                <w:highlight w:val="none"/>
              </w:rPr>
              <w:t>方针</w:t>
            </w:r>
          </w:p>
        </w:tc>
        <w:tc>
          <w:tcPr>
            <w:tcW w:w="960" w:type="dxa"/>
            <w:vAlign w:val="top"/>
          </w:tcPr>
          <w:p>
            <w:pPr>
              <w:jc w:val="both"/>
              <w:rPr>
                <w:color w:val="auto"/>
                <w:highlight w:val="none"/>
              </w:rPr>
            </w:pPr>
            <w:r>
              <w:rPr>
                <w:rFonts w:hint="eastAsia"/>
                <w:b/>
                <w:color w:val="auto"/>
                <w:szCs w:val="22"/>
                <w:highlight w:val="none"/>
              </w:rPr>
              <w:t xml:space="preserve">5.2 </w:t>
            </w:r>
          </w:p>
        </w:tc>
        <w:tc>
          <w:tcPr>
            <w:tcW w:w="10637" w:type="dxa"/>
            <w:vAlign w:val="top"/>
          </w:tcPr>
          <w:p>
            <w:pPr>
              <w:rPr>
                <w:color w:val="auto"/>
                <w:szCs w:val="21"/>
                <w:highlight w:val="none"/>
              </w:rPr>
            </w:pPr>
            <w:r>
              <w:rPr>
                <w:color w:val="auto"/>
                <w:szCs w:val="21"/>
                <w:highlight w:val="none"/>
              </w:rPr>
              <w:t>环境方针</w:t>
            </w:r>
            <w:r>
              <w:rPr>
                <w:rFonts w:hint="eastAsia"/>
                <w:color w:val="auto"/>
                <w:szCs w:val="21"/>
                <w:highlight w:val="none"/>
                <w:lang w:eastAsia="zh-CN"/>
              </w:rPr>
              <w:t>（</w:t>
            </w:r>
            <w:r>
              <w:rPr>
                <w:rFonts w:hint="eastAsia"/>
                <w:color w:val="auto"/>
                <w:szCs w:val="21"/>
                <w:highlight w:val="none"/>
                <w:lang w:val="en-US" w:eastAsia="zh-CN"/>
              </w:rPr>
              <w:t>含质量及职业健康安全</w:t>
            </w:r>
            <w:r>
              <w:rPr>
                <w:rFonts w:hint="eastAsia"/>
                <w:color w:val="auto"/>
                <w:szCs w:val="21"/>
                <w:highlight w:val="none"/>
                <w:lang w:eastAsia="zh-CN"/>
              </w:rPr>
              <w:t>）</w:t>
            </w:r>
            <w:r>
              <w:rPr>
                <w:color w:val="auto"/>
                <w:szCs w:val="21"/>
                <w:highlight w:val="none"/>
              </w:rPr>
              <w:t>为：</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质量为本、满意服务；污染预防、全员环保；</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安全为天、珍爱生命；遵纪守法、持续改进。</w:t>
            </w:r>
          </w:p>
          <w:p>
            <w:pPr>
              <w:adjustRightInd w:val="0"/>
              <w:spacing w:line="360" w:lineRule="auto"/>
              <w:ind w:firstLine="420" w:firstLineChars="200"/>
              <w:rPr>
                <w:rFonts w:ascii="Arial" w:hAnsi="Arial" w:eastAsia="黑体"/>
                <w:b/>
                <w:bCs/>
                <w:color w:val="auto"/>
                <w:sz w:val="28"/>
                <w:szCs w:val="28"/>
                <w:highlight w:val="none"/>
              </w:rPr>
            </w:pPr>
            <w:r>
              <w:rPr>
                <w:rFonts w:hint="eastAsia" w:hAnsi="宋体"/>
                <w:color w:val="auto"/>
                <w:highlight w:val="none"/>
              </w:rPr>
              <w:t>上述方针体现了公司对环境污染和可持续发展方面的承诺。也是公司全体员工的环境行为准则。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    方针对外进行了发布。</w:t>
            </w:r>
          </w:p>
          <w:p>
            <w:pPr>
              <w:spacing w:line="40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手册对方针的内涵进行了阐述，为目标制定及评审提供了框架，每年至少一次,在管理评审会议上讨论其适宜性和改进机会。</w:t>
            </w:r>
          </w:p>
          <w:p>
            <w:pPr>
              <w:widowControl/>
              <w:ind w:firstLine="420" w:firstLineChars="200"/>
              <w:jc w:val="left"/>
              <w:rPr>
                <w:color w:val="auto"/>
                <w:highlight w:val="none"/>
              </w:rPr>
            </w:pPr>
            <w:r>
              <w:rPr>
                <w:rFonts w:hint="eastAsia" w:ascii="宋体" w:hAnsi="宋体" w:cs="宋体"/>
                <w:color w:val="auto"/>
                <w:szCs w:val="21"/>
                <w:highlight w:val="none"/>
                <w:lang w:bidi="ar"/>
              </w:rPr>
              <w:t>企业的方针的内容和管理基本符合标准和法规要求。</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组织的角色、职责和权限；</w:t>
            </w:r>
          </w:p>
          <w:p>
            <w:pPr>
              <w:jc w:val="both"/>
              <w:rPr>
                <w:color w:val="auto"/>
                <w:highlight w:val="none"/>
              </w:rPr>
            </w:pPr>
          </w:p>
        </w:tc>
        <w:tc>
          <w:tcPr>
            <w:tcW w:w="960" w:type="dxa"/>
            <w:vAlign w:val="top"/>
          </w:tcPr>
          <w:p>
            <w:pPr>
              <w:jc w:val="both"/>
              <w:rPr>
                <w:color w:val="auto"/>
                <w:highlight w:val="none"/>
              </w:rPr>
            </w:pPr>
            <w:r>
              <w:rPr>
                <w:rFonts w:hint="eastAsia"/>
                <w:b/>
                <w:color w:val="auto"/>
                <w:szCs w:val="22"/>
                <w:highlight w:val="none"/>
              </w:rPr>
              <w:t>5.3</w:t>
            </w:r>
          </w:p>
        </w:tc>
        <w:tc>
          <w:tcPr>
            <w:tcW w:w="10637" w:type="dxa"/>
            <w:vAlign w:val="top"/>
          </w:tcPr>
          <w:p>
            <w:pPr>
              <w:adjustRightInd w:val="0"/>
              <w:snapToGrid w:val="0"/>
              <w:spacing w:line="400" w:lineRule="atLeast"/>
              <w:ind w:firstLine="420" w:firstLineChars="200"/>
              <w:jc w:val="left"/>
              <w:rPr>
                <w:color w:val="auto"/>
                <w:highlight w:val="none"/>
              </w:rPr>
            </w:pPr>
            <w:r>
              <w:rPr>
                <w:rFonts w:hint="eastAsia" w:ascii="宋体" w:hAnsi="宋体" w:cs="宋体"/>
                <w:color w:val="auto"/>
                <w:sz w:val="21"/>
                <w:szCs w:val="21"/>
                <w:highlight w:val="none"/>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highlight w:val="none"/>
              </w:rPr>
            </w:pPr>
            <w:r>
              <w:rPr>
                <w:rFonts w:hint="eastAsia" w:ascii="宋体" w:hAnsi="宋体" w:cs="宋体"/>
                <w:color w:val="auto"/>
                <w:sz w:val="21"/>
                <w:szCs w:val="21"/>
                <w:highlight w:val="none"/>
              </w:rPr>
              <w:t>应对风险和机遇的措施；</w:t>
            </w:r>
          </w:p>
        </w:tc>
        <w:tc>
          <w:tcPr>
            <w:tcW w:w="960" w:type="dxa"/>
            <w:vAlign w:val="top"/>
          </w:tcPr>
          <w:p>
            <w:pPr>
              <w:jc w:val="both"/>
              <w:rPr>
                <w:rFonts w:hint="default" w:eastAsia="宋体"/>
                <w:color w:val="auto"/>
                <w:highlight w:val="none"/>
                <w:lang w:val="en-US" w:eastAsia="zh-CN"/>
              </w:rPr>
            </w:pPr>
            <w:r>
              <w:rPr>
                <w:rFonts w:hint="eastAsia" w:ascii="宋体" w:hAnsi="宋体" w:cs="宋体"/>
                <w:b/>
                <w:bCs/>
                <w:color w:val="auto"/>
                <w:sz w:val="21"/>
                <w:szCs w:val="21"/>
                <w:highlight w:val="none"/>
              </w:rPr>
              <w:t>6.1</w:t>
            </w:r>
          </w:p>
        </w:tc>
        <w:tc>
          <w:tcPr>
            <w:tcW w:w="10637" w:type="dxa"/>
            <w:vAlign w:val="top"/>
          </w:tcPr>
          <w:p>
            <w:pPr>
              <w:spacing w:line="360" w:lineRule="auto"/>
              <w:rPr>
                <w:rFonts w:ascii="宋体" w:hAnsi="宋体" w:cs="宋体"/>
                <w:color w:val="auto"/>
                <w:szCs w:val="24"/>
                <w:highlight w:val="none"/>
              </w:rPr>
            </w:pPr>
            <w:r>
              <w:rPr>
                <w:rFonts w:hint="eastAsia" w:ascii="宋体" w:hAnsi="宋体" w:cs="宋体"/>
                <w:color w:val="auto"/>
                <w:szCs w:val="24"/>
                <w:highlight w:val="none"/>
              </w:rPr>
              <w:t>查见《风险和机遇评估分析表》：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highlight w:val="none"/>
              </w:rPr>
            </w:pPr>
            <w:r>
              <w:rPr>
                <w:rFonts w:hint="eastAsia" w:ascii="宋体" w:hAnsi="宋体" w:cs="宋体"/>
                <w:color w:val="auto"/>
                <w:szCs w:val="24"/>
                <w:highlight w:val="none"/>
              </w:rPr>
              <w:t>针对外部因素，还分析了市场、文化、社会经济、法律法规的变化等。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应对机遇及措施：各部门应及时关注员工的心态变化，注意工作方式，创造良好的工作环境，提高员工的归属感。</w:t>
            </w:r>
          </w:p>
          <w:p>
            <w:pPr>
              <w:adjustRightInd w:val="0"/>
              <w:snapToGrid w:val="0"/>
              <w:spacing w:line="400" w:lineRule="atLeast"/>
              <w:jc w:val="left"/>
              <w:rPr>
                <w:rFonts w:hint="eastAsia" w:ascii="宋体" w:hAnsi="宋体" w:cs="宋体"/>
                <w:color w:val="auto"/>
                <w:szCs w:val="24"/>
                <w:highlight w:val="none"/>
              </w:rPr>
            </w:pPr>
            <w:r>
              <w:rPr>
                <w:rFonts w:hint="eastAsia" w:ascii="宋体" w:hAnsi="宋体" w:cs="宋体"/>
                <w:color w:val="auto"/>
                <w:szCs w:val="24"/>
                <w:highlight w:val="none"/>
              </w:rPr>
              <w:t>针对内部因素，还分析了财务状况、人力资源、基础设施等。</w:t>
            </w:r>
          </w:p>
          <w:p>
            <w:pPr>
              <w:adjustRightInd w:val="0"/>
              <w:snapToGrid w:val="0"/>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1)内部服务流程</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会产生固废排放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周围居民投诉</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对固废进行分类收集处理。</w:t>
            </w:r>
          </w:p>
          <w:p>
            <w:pPr>
              <w:adjustRightInd w:val="0"/>
              <w:snapToGrid w:val="0"/>
              <w:spacing w:line="400" w:lineRule="atLeas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2)外部供应链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cs="宋体"/>
                <w:color w:val="auto"/>
                <w:sz w:val="21"/>
                <w:szCs w:val="21"/>
                <w:highlight w:val="none"/>
                <w:lang w:eastAsia="zh-CN" w:bidi="ar"/>
              </w:rPr>
              <w:t>。</w:t>
            </w:r>
          </w:p>
          <w:p>
            <w:pPr>
              <w:adjustRightInd w:val="0"/>
              <w:snapToGrid w:val="0"/>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                         </w:t>
            </w:r>
          </w:p>
          <w:p>
            <w:pPr>
              <w:adjustRightInd w:val="0"/>
              <w:snapToGrid w:val="0"/>
              <w:spacing w:line="400" w:lineRule="atLeast"/>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bidi="ar"/>
              </w:rPr>
              <w:t>应对风险和机遇的措施应与其对于产品和服务符合性的潜在影响相适应。</w:t>
            </w:r>
          </w:p>
        </w:tc>
        <w:tc>
          <w:tcPr>
            <w:tcW w:w="952"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color w:val="auto"/>
                <w:szCs w:val="21"/>
                <w:highlight w:val="none"/>
              </w:rPr>
              <w:t>策划措施</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ascii="宋体" w:hAnsi="宋体" w:cs="宋体"/>
                <w:color w:val="auto"/>
                <w:szCs w:val="21"/>
                <w:highlight w:val="none"/>
              </w:rPr>
              <w:t>6.1.4</w:t>
            </w:r>
          </w:p>
        </w:tc>
        <w:tc>
          <w:tcPr>
            <w:tcW w:w="10637" w:type="dxa"/>
            <w:vAlign w:val="top"/>
          </w:tcPr>
          <w:p>
            <w:pPr>
              <w:spacing w:line="360" w:lineRule="auto"/>
              <w:ind w:firstLine="420" w:firstLineChars="200"/>
              <w:rPr>
                <w:rFonts w:hint="eastAsia" w:ascii="Times New Roman" w:hAnsi="Times New Roman" w:eastAsia="宋体" w:cs="Times New Roman"/>
                <w:b/>
                <w:color w:val="auto"/>
                <w:kern w:val="2"/>
                <w:sz w:val="21"/>
                <w:highlight w:val="none"/>
                <w:lang w:val="en-US" w:eastAsia="zh-CN" w:bidi="ar-SA"/>
              </w:rPr>
            </w:pPr>
            <w:r>
              <w:rPr>
                <w:rFonts w:hint="eastAsia"/>
                <w:color w:val="auto"/>
                <w:szCs w:val="21"/>
                <w:highlight w:val="none"/>
              </w:rPr>
              <w:t>组织管理层策划关于开展</w:t>
            </w:r>
            <w:r>
              <w:rPr>
                <w:rFonts w:hint="eastAsia"/>
                <w:color w:val="auto"/>
                <w:szCs w:val="21"/>
                <w:highlight w:val="none"/>
                <w:lang w:val="en-US" w:eastAsia="zh-CN"/>
              </w:rPr>
              <w:t>环境</w:t>
            </w:r>
            <w:r>
              <w:rPr>
                <w:rFonts w:hint="eastAsia"/>
                <w:color w:val="auto"/>
                <w:szCs w:val="21"/>
                <w:highlight w:val="none"/>
              </w:rPr>
              <w:t>管理体系中所采取措施，以便管理</w:t>
            </w:r>
            <w:r>
              <w:rPr>
                <w:rFonts w:hint="eastAsia"/>
                <w:color w:val="auto"/>
                <w:szCs w:val="21"/>
                <w:highlight w:val="none"/>
                <w:lang w:val="en-US" w:eastAsia="zh-CN"/>
              </w:rPr>
              <w:t>环境</w:t>
            </w:r>
            <w:r>
              <w:rPr>
                <w:rFonts w:hint="eastAsia"/>
                <w:color w:val="auto"/>
                <w:szCs w:val="21"/>
                <w:highlight w:val="none"/>
              </w:rPr>
              <w:t>目标、</w:t>
            </w:r>
            <w:r>
              <w:rPr>
                <w:rFonts w:hint="eastAsia"/>
                <w:color w:val="auto"/>
                <w:szCs w:val="21"/>
                <w:highlight w:val="none"/>
                <w:lang w:val="en-US" w:eastAsia="zh-CN"/>
              </w:rPr>
              <w:t>重要环境因素</w:t>
            </w:r>
            <w:r>
              <w:rPr>
                <w:rFonts w:hint="eastAsia"/>
                <w:color w:val="auto"/>
                <w:szCs w:val="21"/>
                <w:highlight w:val="none"/>
              </w:rPr>
              <w:t>、合规性义务、组织识别的风险等。通过合规性评价、目标考核、运行方案、管理评审、内外部沟通等方式以保证管理体系达到预期结果。具体见各部门审核记录。</w:t>
            </w:r>
          </w:p>
        </w:tc>
        <w:tc>
          <w:tcPr>
            <w:tcW w:w="952" w:type="dxa"/>
          </w:tcPr>
          <w:p>
            <w:pPr>
              <w:spacing w:line="360" w:lineRule="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highlight w:val="none"/>
              </w:rPr>
            </w:pPr>
            <w:r>
              <w:rPr>
                <w:rFonts w:hint="eastAsia" w:ascii="宋体" w:hAnsi="宋体"/>
                <w:color w:val="auto"/>
                <w:sz w:val="21"/>
                <w:szCs w:val="21"/>
                <w:highlight w:val="none"/>
              </w:rPr>
              <w:t>目标及其实现的策划</w:t>
            </w:r>
          </w:p>
        </w:tc>
        <w:tc>
          <w:tcPr>
            <w:tcW w:w="960" w:type="dxa"/>
            <w:vAlign w:val="top"/>
          </w:tcPr>
          <w:p>
            <w:pPr>
              <w:jc w:val="both"/>
              <w:rPr>
                <w:color w:val="auto"/>
                <w:highlight w:val="none"/>
              </w:rPr>
            </w:pPr>
            <w:r>
              <w:rPr>
                <w:rFonts w:hint="eastAsia" w:ascii="宋体" w:hAnsi="宋体"/>
                <w:b/>
                <w:bCs/>
                <w:color w:val="auto"/>
                <w:sz w:val="21"/>
                <w:szCs w:val="21"/>
                <w:highlight w:val="none"/>
              </w:rPr>
              <w:t>6.2</w:t>
            </w:r>
          </w:p>
        </w:tc>
        <w:tc>
          <w:tcPr>
            <w:tcW w:w="10637" w:type="dxa"/>
            <w:vAlign w:val="top"/>
          </w:tcPr>
          <w:p>
            <w:pPr>
              <w:spacing w:line="400" w:lineRule="exact"/>
              <w:rPr>
                <w:rFonts w:hint="eastAsia" w:ascii="宋体" w:hAnsi="宋体" w:cs="Times New Roman"/>
                <w:color w:val="auto"/>
                <w:sz w:val="21"/>
                <w:szCs w:val="21"/>
                <w:highlight w:val="none"/>
              </w:rPr>
            </w:pPr>
            <w:r>
              <w:rPr>
                <w:rFonts w:hint="eastAsia" w:ascii="宋体" w:hAnsi="宋体"/>
                <w:color w:val="auto"/>
                <w:sz w:val="21"/>
                <w:szCs w:val="21"/>
                <w:highlight w:val="none"/>
                <w:lang w:val="en-US" w:eastAsia="zh-CN"/>
              </w:rPr>
              <w:t>公司</w:t>
            </w:r>
            <w:r>
              <w:rPr>
                <w:rFonts w:hint="eastAsia" w:ascii="宋体" w:hAnsi="宋体"/>
                <w:color w:val="auto"/>
                <w:sz w:val="21"/>
                <w:szCs w:val="21"/>
                <w:highlight w:val="none"/>
              </w:rPr>
              <w:t>环</w:t>
            </w:r>
            <w:r>
              <w:rPr>
                <w:rFonts w:hint="eastAsia" w:ascii="宋体" w:hAnsi="宋体" w:cs="Times New Roman"/>
                <w:color w:val="auto"/>
                <w:sz w:val="21"/>
                <w:szCs w:val="21"/>
                <w:highlight w:val="none"/>
              </w:rPr>
              <w:t>境目标：</w:t>
            </w:r>
          </w:p>
          <w:p>
            <w:pPr>
              <w:numPr>
                <w:ilvl w:val="0"/>
                <w:numId w:val="0"/>
              </w:numPr>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lang w:eastAsia="zh-CN"/>
              </w:rPr>
              <w:t>固体废弃物100%合规处理</w:t>
            </w:r>
          </w:p>
          <w:p>
            <w:pPr>
              <w:numPr>
                <w:ilvl w:val="0"/>
                <w:numId w:val="0"/>
              </w:numPr>
              <w:spacing w:line="400" w:lineRule="exact"/>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火灾事故为0</w:t>
            </w:r>
            <w:r>
              <w:rPr>
                <w:rFonts w:hint="eastAsia" w:ascii="宋体" w:hAnsi="宋体" w:cs="Times New Roman"/>
                <w:color w:val="auto"/>
                <w:sz w:val="21"/>
                <w:szCs w:val="21"/>
                <w:highlight w:val="none"/>
              </w:rPr>
              <w:t>；</w:t>
            </w:r>
          </w:p>
          <w:p>
            <w:pPr>
              <w:pStyle w:val="7"/>
              <w:spacing w:line="400" w:lineRule="exact"/>
              <w:rPr>
                <w:rFonts w:hint="eastAsia" w:ascii="宋体" w:hAnsi="宋体"/>
                <w:color w:val="auto"/>
                <w:sz w:val="21"/>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val="en-US" w:eastAsia="zh-CN"/>
              </w:rPr>
              <w:t>2022年</w:t>
            </w:r>
            <w:r>
              <w:rPr>
                <w:rFonts w:hint="eastAsia" w:ascii="宋体" w:hAnsi="宋体"/>
                <w:color w:val="auto"/>
                <w:kern w:val="2"/>
                <w:sz w:val="21"/>
                <w:szCs w:val="21"/>
                <w:highlight w:val="none"/>
              </w:rPr>
              <w:t>目标及实施情况统计</w:t>
            </w:r>
            <w:r>
              <w:rPr>
                <w:rFonts w:hint="eastAsia" w:ascii="宋体" w:hAnsi="宋体"/>
                <w:color w:val="auto"/>
                <w:kern w:val="2"/>
                <w:sz w:val="21"/>
                <w:szCs w:val="21"/>
                <w:highlight w:val="none"/>
                <w:lang w:eastAsia="zh-CN"/>
              </w:rPr>
              <w:t>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2022年1-7月</w:t>
            </w:r>
            <w:r>
              <w:rPr>
                <w:rFonts w:hint="eastAsia" w:ascii="宋体" w:hAnsi="宋体"/>
                <w:color w:val="auto"/>
                <w:kern w:val="2"/>
                <w:sz w:val="21"/>
                <w:szCs w:val="21"/>
                <w:highlight w:val="none"/>
                <w:lang w:val="en-US" w:eastAsia="zh-CN"/>
              </w:rPr>
              <w:t>度</w:t>
            </w:r>
            <w:r>
              <w:rPr>
                <w:rFonts w:hint="eastAsia" w:ascii="宋体" w:hAnsi="宋体"/>
                <w:color w:val="auto"/>
                <w:kern w:val="2"/>
                <w:sz w:val="21"/>
                <w:szCs w:val="21"/>
                <w:highlight w:val="none"/>
              </w:rPr>
              <w:t>对目标进行考核，考核情况为：</w:t>
            </w:r>
            <w:r>
              <w:rPr>
                <w:rFonts w:hint="eastAsia" w:ascii="宋体" w:hAnsi="宋体"/>
                <w:color w:val="auto"/>
                <w:sz w:val="21"/>
                <w:szCs w:val="21"/>
                <w:highlight w:val="none"/>
              </w:rPr>
              <w:t xml:space="preserve"> </w:t>
            </w:r>
          </w:p>
          <w:p>
            <w:pPr>
              <w:spacing w:line="400" w:lineRule="exact"/>
              <w:rPr>
                <w:rFonts w:hint="default" w:ascii="宋体" w:hAnsi="宋体" w:cs="Times New Roman"/>
                <w:color w:val="auto"/>
                <w:sz w:val="21"/>
                <w:szCs w:val="21"/>
                <w:highlight w:val="none"/>
                <w:lang w:val="en-US"/>
              </w:rPr>
            </w:pP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固体废弃物100%合规处理</w:t>
            </w:r>
            <w:r>
              <w:rPr>
                <w:rFonts w:hint="eastAsia" w:ascii="宋体" w:hAnsi="宋体" w:cs="Times New Roman"/>
                <w:color w:val="auto"/>
                <w:sz w:val="21"/>
                <w:szCs w:val="21"/>
                <w:highlight w:val="none"/>
                <w:lang w:val="en-US" w:eastAsia="zh-CN"/>
              </w:rPr>
              <w:t xml:space="preserve">        实测：100%</w:t>
            </w:r>
          </w:p>
          <w:p>
            <w:pPr>
              <w:tabs>
                <w:tab w:val="left" w:pos="3333"/>
              </w:tabs>
              <w:spacing w:line="400" w:lineRule="exac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火灾事故为0</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ab/>
            </w:r>
            <w:r>
              <w:rPr>
                <w:rFonts w:hint="eastAsia" w:ascii="宋体" w:hAnsi="宋体" w:cs="Times New Roman"/>
                <w:color w:val="auto"/>
                <w:sz w:val="21"/>
                <w:szCs w:val="21"/>
                <w:highlight w:val="none"/>
                <w:lang w:val="en-US" w:eastAsia="zh-CN"/>
              </w:rPr>
              <w:t xml:space="preserve">  实测：零</w:t>
            </w:r>
          </w:p>
          <w:p>
            <w:pPr>
              <w:tabs>
                <w:tab w:val="left" w:pos="3333"/>
              </w:tabs>
              <w:spacing w:line="400" w:lineRule="exact"/>
              <w:rPr>
                <w:color w:val="auto"/>
                <w:highlight w:val="none"/>
              </w:rPr>
            </w:pPr>
            <w:r>
              <w:rPr>
                <w:rFonts w:hint="eastAsia" w:ascii="宋体" w:hAnsi="宋体" w:cs="Times New Roman"/>
                <w:color w:val="auto"/>
                <w:sz w:val="21"/>
                <w:szCs w:val="21"/>
                <w:highlight w:val="none"/>
                <w:lang w:val="en-US" w:eastAsia="zh-CN"/>
              </w:rPr>
              <w:t>对重要环境因素</w:t>
            </w:r>
            <w:r>
              <w:rPr>
                <w:rFonts w:hint="eastAsia"/>
                <w:color w:val="auto"/>
                <w:sz w:val="21"/>
                <w:szCs w:val="21"/>
                <w:highlight w:val="none"/>
              </w:rPr>
              <w:t>固废的排放</w:t>
            </w:r>
            <w:r>
              <w:rPr>
                <w:rFonts w:hint="eastAsia"/>
                <w:color w:val="auto"/>
                <w:sz w:val="21"/>
                <w:szCs w:val="21"/>
                <w:highlight w:val="none"/>
                <w:lang w:eastAsia="zh-CN"/>
              </w:rPr>
              <w:t>、</w:t>
            </w:r>
            <w:r>
              <w:rPr>
                <w:rFonts w:hint="eastAsia"/>
                <w:color w:val="auto"/>
                <w:sz w:val="21"/>
                <w:szCs w:val="21"/>
                <w:highlight w:val="none"/>
                <w:lang w:val="en-US" w:eastAsia="zh-CN"/>
              </w:rPr>
              <w:t>潜在火灾</w:t>
            </w:r>
            <w:r>
              <w:rPr>
                <w:rFonts w:hint="eastAsia" w:ascii="宋体" w:hAnsi="宋体"/>
                <w:color w:val="auto"/>
                <w:sz w:val="21"/>
                <w:szCs w:val="21"/>
                <w:highlight w:val="none"/>
              </w:rPr>
              <w:t>拟定有管理方案实施控制。</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资源</w:t>
            </w:r>
          </w:p>
        </w:tc>
        <w:tc>
          <w:tcPr>
            <w:tcW w:w="960" w:type="dxa"/>
            <w:vAlign w:val="top"/>
          </w:tcPr>
          <w:p>
            <w:pPr>
              <w:spacing w:line="360" w:lineRule="auto"/>
              <w:rPr>
                <w:color w:val="auto"/>
                <w:highlight w:val="none"/>
              </w:rPr>
            </w:pPr>
            <w:r>
              <w:rPr>
                <w:rFonts w:hint="eastAsia" w:ascii="宋体" w:hAnsi="宋体"/>
                <w:b/>
                <w:bCs/>
                <w:color w:val="auto"/>
                <w:sz w:val="21"/>
                <w:szCs w:val="21"/>
                <w:highlight w:val="none"/>
              </w:rPr>
              <w:t>7.1</w:t>
            </w:r>
          </w:p>
        </w:tc>
        <w:tc>
          <w:tcPr>
            <w:tcW w:w="10637" w:type="dxa"/>
            <w:vAlign w:val="top"/>
          </w:tcPr>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询问总经理，企业为了实施环境管理体系，并持续改进其有效性、增强顾客满意度和体系正常运行提供了充足的资金及必要的资源，为提高员工</w:t>
            </w:r>
            <w:r>
              <w:rPr>
                <w:rFonts w:hint="eastAsia" w:ascii="宋体" w:hAnsi="宋体"/>
                <w:color w:val="auto"/>
                <w:sz w:val="21"/>
                <w:szCs w:val="21"/>
                <w:highlight w:val="none"/>
                <w:lang w:eastAsia="zh-CN"/>
              </w:rPr>
              <w:t>环境</w:t>
            </w:r>
            <w:r>
              <w:rPr>
                <w:rFonts w:hint="eastAsia" w:ascii="宋体" w:hAnsi="宋体"/>
                <w:color w:val="auto"/>
                <w:sz w:val="21"/>
                <w:szCs w:val="21"/>
                <w:highlight w:val="none"/>
              </w:rPr>
              <w:t>意识组织了的培训，目前的资源基本满足策划需要。</w:t>
            </w:r>
          </w:p>
          <w:p>
            <w:pPr>
              <w:widowControl/>
              <w:spacing w:line="360" w:lineRule="auto"/>
              <w:jc w:val="left"/>
              <w:rPr>
                <w:color w:val="auto"/>
                <w:highlight w:val="none"/>
              </w:rPr>
            </w:pPr>
            <w:r>
              <w:rPr>
                <w:rFonts w:hint="eastAsia" w:ascii="宋体" w:hAnsi="宋体"/>
                <w:color w:val="auto"/>
                <w:sz w:val="21"/>
                <w:szCs w:val="21"/>
                <w:highlight w:val="none"/>
              </w:rPr>
              <w:t>总经理对资源的配备比较重视，人力资源、设备和工作环境等可满足</w:t>
            </w:r>
            <w:r>
              <w:rPr>
                <w:rFonts w:hint="eastAsia"/>
                <w:color w:val="auto"/>
                <w:sz w:val="20"/>
                <w:highlight w:val="none"/>
                <w:lang w:eastAsia="zh-CN"/>
              </w:rPr>
              <w:t>塑胶制品、纸制品、木制品、金属制品的销售所涉及场所的相关环境管理活动</w:t>
            </w:r>
            <w:r>
              <w:rPr>
                <w:rFonts w:hint="eastAsia" w:ascii="宋体" w:hAnsi="宋体"/>
                <w:color w:val="auto"/>
                <w:sz w:val="21"/>
                <w:szCs w:val="21"/>
                <w:highlight w:val="none"/>
              </w:rPr>
              <w:t>的需要。</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沟通</w:t>
            </w:r>
          </w:p>
        </w:tc>
        <w:tc>
          <w:tcPr>
            <w:tcW w:w="960" w:type="dxa"/>
            <w:vAlign w:val="top"/>
          </w:tcPr>
          <w:p>
            <w:pPr>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7.4</w:t>
            </w:r>
          </w:p>
        </w:tc>
        <w:tc>
          <w:tcPr>
            <w:tcW w:w="10637"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ascii="宋体" w:hAnsi="宋体"/>
                <w:color w:val="auto"/>
                <w:sz w:val="21"/>
                <w:szCs w:val="21"/>
                <w:highlight w:val="none"/>
              </w:rPr>
              <w:t>境管理体系</w:t>
            </w:r>
            <w:r>
              <w:rPr>
                <w:rFonts w:hint="eastAsia" w:ascii="宋体" w:hAnsi="宋体" w:cs="宋体"/>
                <w:color w:val="auto"/>
                <w:szCs w:val="21"/>
                <w:highlight w:val="none"/>
              </w:rPr>
              <w:t>相关的内部沟通和外部信息交流的项目、内容等。如：公布、公开</w:t>
            </w:r>
            <w:r>
              <w:rPr>
                <w:rFonts w:hint="eastAsia" w:ascii="宋体" w:hAnsi="宋体" w:cs="宋体"/>
                <w:color w:val="auto"/>
                <w:szCs w:val="21"/>
                <w:highlight w:val="none"/>
                <w:lang w:val="en-US" w:eastAsia="zh-CN"/>
              </w:rPr>
              <w:t>环境管理</w:t>
            </w:r>
            <w:r>
              <w:rPr>
                <w:rFonts w:hint="eastAsia" w:ascii="宋体" w:hAnsi="宋体" w:cs="宋体"/>
                <w:color w:val="auto"/>
                <w:szCs w:val="21"/>
                <w:highlight w:val="none"/>
              </w:rPr>
              <w:t>方针和目标、与客户、外部供方等相关产品和服务的沟通等。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highlight w:val="none"/>
              </w:rPr>
            </w:pPr>
            <w:r>
              <w:rPr>
                <w:rFonts w:hint="eastAsia" w:ascii="宋体" w:hAnsi="宋体" w:cs="宋体"/>
                <w:color w:val="auto"/>
                <w:szCs w:val="21"/>
                <w:highlight w:val="none"/>
              </w:rPr>
              <w:t>--查看记录并口头交流确认：公司及</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负责的相关内、外沟通效果基本满足要求。</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keepNext w:val="0"/>
              <w:keepLines w:val="0"/>
              <w:pageBreakBefore w:val="0"/>
              <w:widowControl w:val="0"/>
              <w:kinsoku/>
              <w:wordWrap/>
              <w:overflowPunct/>
              <w:topLinePunct w:val="0"/>
              <w:bidi w:val="0"/>
              <w:snapToGrid/>
              <w:spacing w:line="312" w:lineRule="auto"/>
              <w:textAlignment w:val="auto"/>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bidi w:val="0"/>
              <w:snapToGrid/>
              <w:spacing w:line="312" w:lineRule="auto"/>
              <w:textAlignment w:val="auto"/>
              <w:rPr>
                <w:color w:val="auto"/>
                <w:highlight w:val="none"/>
              </w:rPr>
            </w:pPr>
          </w:p>
        </w:tc>
        <w:tc>
          <w:tcPr>
            <w:tcW w:w="10637" w:type="dxa"/>
            <w:vAlign w:val="top"/>
          </w:tcPr>
          <w:p>
            <w:pPr>
              <w:keepNext w:val="0"/>
              <w:keepLines w:val="0"/>
              <w:pageBreakBefore w:val="0"/>
              <w:widowControl w:val="0"/>
              <w:kinsoku/>
              <w:wordWrap/>
              <w:overflowPunct/>
              <w:topLinePunct w:val="0"/>
              <w:bidi w:val="0"/>
              <w:snapToGrid/>
              <w:spacing w:line="312" w:lineRule="auto"/>
              <w:textAlignment w:val="auto"/>
              <w:rPr>
                <w:color w:val="auto"/>
                <w:highlight w:val="none"/>
              </w:rPr>
            </w:pPr>
            <w:r>
              <w:rPr>
                <w:rFonts w:hint="eastAsia"/>
                <w:color w:val="auto"/>
                <w:highlight w:val="none"/>
              </w:rPr>
              <w:t>公司对需要监视和测量的对象的确定，监视、测量、分析和评价方法的选择，实施监视和测量的时机、实施分析和评价的时机界定，境管理体系的绩效和有效性的评价方法的采用及有关监视和测量记录的保留等要求予以较清楚的策划和确定，详见相关程序文件及监视、测量、分析和评价的实施计划。</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rPr>
            </w:pPr>
            <w:r>
              <w:rPr>
                <w:rFonts w:hint="eastAsia"/>
                <w:color w:val="auto"/>
                <w:highlight w:val="none"/>
              </w:rPr>
              <w:t>如：</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rPr>
            </w:pPr>
            <w:r>
              <w:rPr>
                <w:rFonts w:hint="eastAsia"/>
                <w:color w:val="auto"/>
                <w:highlight w:val="none"/>
              </w:rPr>
              <w:t>（1）《</w:t>
            </w:r>
            <w:r>
              <w:rPr>
                <w:rFonts w:hint="eastAsia"/>
                <w:color w:val="auto"/>
                <w:highlight w:val="none"/>
                <w:lang w:val="zh-CN"/>
              </w:rPr>
              <w:t>合规性评价控制程序</w:t>
            </w:r>
            <w:r>
              <w:rPr>
                <w:rFonts w:hint="eastAsia"/>
                <w:color w:val="auto"/>
                <w:highlight w:val="none"/>
              </w:rPr>
              <w:t>》</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lang w:eastAsia="zh-CN"/>
              </w:rPr>
            </w:pPr>
            <w:r>
              <w:rPr>
                <w:rFonts w:hint="eastAsia"/>
                <w:color w:val="auto"/>
                <w:highlight w:val="none"/>
              </w:rPr>
              <w:t>（2）《</w:t>
            </w:r>
            <w:r>
              <w:rPr>
                <w:rFonts w:hint="eastAsia"/>
                <w:color w:val="auto"/>
                <w:highlight w:val="none"/>
                <w:lang w:eastAsia="zh-CN"/>
              </w:rPr>
              <w:t>内部审核控制程序》</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rPr>
            </w:pPr>
            <w:r>
              <w:rPr>
                <w:rFonts w:hint="eastAsia"/>
                <w:color w:val="auto"/>
                <w:highlight w:val="none"/>
              </w:rPr>
              <w:t>（3）《</w:t>
            </w:r>
            <w:r>
              <w:rPr>
                <w:rFonts w:hint="eastAsia"/>
                <w:color w:val="auto"/>
                <w:highlight w:val="none"/>
                <w:lang w:eastAsia="zh-CN"/>
              </w:rPr>
              <w:t>管理评审控制程序</w:t>
            </w:r>
            <w:r>
              <w:rPr>
                <w:rFonts w:hint="eastAsia"/>
                <w:color w:val="auto"/>
                <w:highlight w:val="none"/>
              </w:rPr>
              <w:t>》</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lang w:eastAsia="zh-CN"/>
              </w:rPr>
            </w:pPr>
            <w:r>
              <w:rPr>
                <w:rFonts w:hint="eastAsia"/>
                <w:color w:val="auto"/>
                <w:highlight w:val="none"/>
              </w:rPr>
              <w:t>（</w:t>
            </w:r>
            <w:r>
              <w:rPr>
                <w:rFonts w:hint="eastAsia"/>
                <w:color w:val="auto"/>
                <w:highlight w:val="none"/>
                <w:lang w:eastAsia="zh-CN"/>
              </w:rPr>
              <w:t>4）《不合格品控制程序》</w:t>
            </w:r>
          </w:p>
          <w:p>
            <w:pPr>
              <w:keepNext w:val="0"/>
              <w:keepLines w:val="0"/>
              <w:pageBreakBefore w:val="0"/>
              <w:widowControl w:val="0"/>
              <w:kinsoku/>
              <w:wordWrap/>
              <w:overflowPunct/>
              <w:topLinePunct w:val="0"/>
              <w:bidi w:val="0"/>
              <w:snapToGrid/>
              <w:spacing w:line="312" w:lineRule="auto"/>
              <w:textAlignment w:val="auto"/>
              <w:rPr>
                <w:rFonts w:hint="eastAsia"/>
                <w:color w:val="auto"/>
                <w:highlight w:val="none"/>
                <w:lang w:val="en-US" w:eastAsia="zh-CN"/>
              </w:rPr>
            </w:pPr>
            <w:r>
              <w:rPr>
                <w:rFonts w:hint="eastAsia"/>
                <w:color w:val="auto"/>
                <w:highlight w:val="none"/>
                <w:lang w:val="en-US" w:eastAsia="zh-CN"/>
              </w:rPr>
              <w:t>（5）《</w:t>
            </w:r>
            <w:r>
              <w:rPr>
                <w:rFonts w:hint="eastAsia"/>
                <w:color w:val="auto"/>
                <w:highlight w:val="none"/>
                <w:lang w:eastAsia="zh-CN"/>
              </w:rPr>
              <w:t>环境职业健康安全监视和测量控制程序</w:t>
            </w:r>
            <w:r>
              <w:rPr>
                <w:rFonts w:hint="eastAsia"/>
                <w:color w:val="auto"/>
                <w:highlight w:val="none"/>
                <w:lang w:val="en-US" w:eastAsia="zh-CN"/>
              </w:rPr>
              <w:t>》</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highlight w:val="none"/>
              </w:rPr>
            </w:pPr>
            <w:r>
              <w:rPr>
                <w:rFonts w:hint="eastAsia" w:ascii="宋体" w:hAnsi="宋体" w:cs="宋体"/>
                <w:color w:val="auto"/>
                <w:sz w:val="21"/>
                <w:szCs w:val="21"/>
                <w:highlight w:val="none"/>
              </w:rPr>
              <w:t>管理评审</w:t>
            </w:r>
          </w:p>
        </w:tc>
        <w:tc>
          <w:tcPr>
            <w:tcW w:w="960" w:type="dxa"/>
            <w:vAlign w:val="top"/>
          </w:tcPr>
          <w:p>
            <w:pP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9.3  </w:t>
            </w:r>
          </w:p>
          <w:p>
            <w:pPr>
              <w:rPr>
                <w:color w:val="auto"/>
                <w:highlight w:val="none"/>
              </w:rPr>
            </w:pPr>
          </w:p>
        </w:tc>
        <w:tc>
          <w:tcPr>
            <w:tcW w:w="10637" w:type="dxa"/>
            <w:vAlign w:val="top"/>
          </w:tcPr>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查，公司管理手册，规定了管理评审的要求：管理评审的主持人、时间频率、管理评审的输入、输出等。公司制定了“</w:t>
            </w:r>
            <w:r>
              <w:rPr>
                <w:rFonts w:hint="eastAsia" w:ascii="宋体" w:hAnsi="宋体" w:cs="宋体"/>
                <w:color w:val="auto"/>
                <w:sz w:val="21"/>
                <w:szCs w:val="21"/>
                <w:highlight w:val="none"/>
                <w:lang w:eastAsia="zh-CN" w:bidi="ar"/>
              </w:rPr>
              <w:t>管理评审控制程序</w:t>
            </w:r>
            <w:r>
              <w:rPr>
                <w:rFonts w:hint="eastAsia" w:ascii="宋体" w:hAnsi="宋体" w:cs="宋体"/>
                <w:color w:val="auto"/>
                <w:sz w:val="21"/>
                <w:szCs w:val="21"/>
                <w:highlight w:val="none"/>
                <w:lang w:bidi="ar"/>
              </w:rPr>
              <w:t>”,规定每年至少进行一次管理评审，每次时间间隔不超过12个月</w:t>
            </w:r>
          </w:p>
          <w:p>
            <w:pPr>
              <w:spacing w:line="360" w:lineRule="atLeas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时间：</w:t>
            </w:r>
            <w:r>
              <w:rPr>
                <w:rFonts w:hint="eastAsia" w:ascii="宋体" w:hAnsi="宋体" w:eastAsia="宋体" w:cs="宋体"/>
                <w:color w:val="auto"/>
                <w:sz w:val="21"/>
                <w:szCs w:val="21"/>
                <w:highlight w:val="none"/>
                <w:lang w:eastAsia="zh-CN" w:bidi="ar"/>
              </w:rPr>
              <w:t>20</w:t>
            </w:r>
            <w:r>
              <w:rPr>
                <w:rFonts w:hint="eastAsia" w:ascii="宋体" w:hAnsi="宋体" w:eastAsia="宋体" w:cs="宋体"/>
                <w:color w:val="auto"/>
                <w:sz w:val="21"/>
                <w:szCs w:val="21"/>
                <w:highlight w:val="none"/>
                <w:lang w:val="en-US" w:eastAsia="zh-CN" w:bidi="ar"/>
              </w:rPr>
              <w:t>2</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年</w:t>
            </w:r>
            <w:r>
              <w:rPr>
                <w:rFonts w:hint="eastAsia" w:ascii="宋体" w:hAnsi="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月</w:t>
            </w:r>
            <w:r>
              <w:rPr>
                <w:rFonts w:hint="eastAsia" w:ascii="宋体" w:hAnsi="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日</w:t>
            </w:r>
          </w:p>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主持人：总经理</w:t>
            </w:r>
          </w:p>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参加人员：体系涉及到的各部门所有有人员</w:t>
            </w:r>
          </w:p>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评审输入内容：</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体系贯彻工作进展情况。</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环境方针的评审，</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预防措施和纠正措施的状况。</w:t>
            </w:r>
          </w:p>
          <w:p>
            <w:pPr>
              <w:numPr>
                <w:ilvl w:val="0"/>
                <w:numId w:val="2"/>
              </w:numPr>
              <w:spacing w:line="360" w:lineRule="atLeast"/>
              <w:ind w:left="0" w:firstLine="0"/>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实施与运行情况的评审（包括资源提供、文件控制）</w:t>
            </w:r>
            <w:r>
              <w:rPr>
                <w:rFonts w:hint="eastAsia" w:ascii="宋体" w:hAnsi="宋体" w:eastAsia="宋体" w:cs="宋体"/>
                <w:color w:val="auto"/>
                <w:sz w:val="21"/>
                <w:szCs w:val="21"/>
                <w:highlight w:val="none"/>
                <w:lang w:bidi="ar"/>
              </w:rPr>
              <w:t>；</w:t>
            </w:r>
          </w:p>
          <w:p>
            <w:pPr>
              <w:numPr>
                <w:ilvl w:val="0"/>
                <w:numId w:val="2"/>
              </w:numPr>
              <w:spacing w:line="360" w:lineRule="atLeast"/>
              <w:ind w:left="0" w:firstLine="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体系绩效测量和监视（包括目标达成情况、内审审核）；</w:t>
            </w:r>
          </w:p>
          <w:p>
            <w:pPr>
              <w:numPr>
                <w:ilvl w:val="0"/>
                <w:numId w:val="2"/>
              </w:numPr>
              <w:spacing w:line="360" w:lineRule="atLeast"/>
              <w:ind w:left="0" w:firstLine="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相关</w:t>
            </w:r>
            <w:r>
              <w:rPr>
                <w:rFonts w:hint="eastAsia" w:ascii="宋体" w:hAnsi="宋体" w:eastAsia="宋体" w:cs="宋体"/>
                <w:color w:val="auto"/>
                <w:sz w:val="21"/>
                <w:szCs w:val="21"/>
                <w:highlight w:val="none"/>
                <w:lang w:val="en-US" w:eastAsia="zh-CN" w:bidi="ar"/>
              </w:rPr>
              <w:t>方</w:t>
            </w:r>
            <w:r>
              <w:rPr>
                <w:rFonts w:hint="eastAsia" w:ascii="宋体" w:hAnsi="宋体" w:eastAsia="宋体" w:cs="宋体"/>
                <w:color w:val="auto"/>
                <w:sz w:val="21"/>
                <w:szCs w:val="21"/>
                <w:highlight w:val="none"/>
                <w:lang w:bidi="ar"/>
              </w:rPr>
              <w:t>关注</w:t>
            </w:r>
          </w:p>
          <w:p>
            <w:pPr>
              <w:numPr>
                <w:ilvl w:val="0"/>
                <w:numId w:val="2"/>
              </w:numPr>
              <w:spacing w:line="360" w:lineRule="atLeast"/>
              <w:ind w:left="0" w:firstLine="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可能影响管理体系的变更，包括内外环境的变化，如法律、法规的变化等</w:t>
            </w:r>
          </w:p>
          <w:p>
            <w:pPr>
              <w:spacing w:line="340" w:lineRule="exact"/>
              <w:ind w:firstLine="435"/>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改进的建</w:t>
            </w:r>
            <w:r>
              <w:rPr>
                <w:rFonts w:hint="eastAsia" w:ascii="宋体" w:hAnsi="宋体" w:eastAsia="宋体" w:cs="宋体"/>
                <w:color w:val="auto"/>
                <w:sz w:val="21"/>
                <w:szCs w:val="21"/>
                <w:highlight w:val="none"/>
                <w:lang w:bidi="ar"/>
              </w:rPr>
              <w:t>议</w:t>
            </w:r>
            <w:r>
              <w:rPr>
                <w:rFonts w:hint="eastAsia" w:ascii="宋体" w:hAnsi="宋体" w:cs="宋体"/>
                <w:color w:val="auto"/>
                <w:sz w:val="21"/>
                <w:szCs w:val="21"/>
                <w:highlight w:val="none"/>
                <w:lang w:bidi="ar"/>
              </w:rPr>
              <w:t>：加强</w:t>
            </w:r>
            <w:r>
              <w:rPr>
                <w:rFonts w:hint="eastAsia" w:ascii="宋体" w:hAnsi="宋体" w:cs="宋体"/>
                <w:color w:val="auto"/>
                <w:sz w:val="21"/>
                <w:szCs w:val="21"/>
                <w:highlight w:val="none"/>
                <w:lang w:eastAsia="zh-CN" w:bidi="ar"/>
              </w:rPr>
              <w:t>公司文件管理，完善文件管理制度</w:t>
            </w:r>
            <w:r>
              <w:rPr>
                <w:rFonts w:hint="eastAsia" w:ascii="宋体" w:hAnsi="宋体" w:cs="宋体"/>
                <w:color w:val="auto"/>
                <w:sz w:val="21"/>
                <w:szCs w:val="21"/>
                <w:highlight w:val="none"/>
                <w:lang w:bidi="ar"/>
              </w:rPr>
              <w:t>，由综合部负责。</w:t>
            </w:r>
            <w:r>
              <w:rPr>
                <w:rFonts w:hint="eastAsia" w:ascii="宋体" w:hAnsi="宋体" w:cs="宋体"/>
                <w:color w:val="auto"/>
                <w:sz w:val="21"/>
                <w:szCs w:val="21"/>
                <w:highlight w:val="none"/>
                <w:lang w:val="en-US" w:eastAsia="zh-CN" w:bidi="ar"/>
              </w:rPr>
              <w:t>查见改进计划及完成情况验证，</w:t>
            </w:r>
            <w:r>
              <w:rPr>
                <w:rFonts w:hint="eastAsia" w:ascii="宋体" w:hAnsi="宋体" w:cs="宋体"/>
                <w:color w:val="auto"/>
                <w:sz w:val="21"/>
                <w:szCs w:val="21"/>
                <w:highlight w:val="none"/>
                <w:lang w:bidi="ar"/>
              </w:rPr>
              <w:t>综合部组织各部门全体人员进行培训，并进行了考核</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改进有效。</w:t>
            </w:r>
          </w:p>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评审输出内容：</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环境方针的评审：方针合理、适宜符合要求，</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预防措施和纠正措施的状况。</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实施与运行情况的评审（包括资源提供、文件控制）；</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相关方关注：20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1月</w:t>
            </w:r>
            <w:r>
              <w:rPr>
                <w:rFonts w:hint="eastAsia" w:ascii="宋体" w:hAnsi="宋体" w:cs="宋体"/>
                <w:color w:val="auto"/>
                <w:sz w:val="21"/>
                <w:szCs w:val="21"/>
                <w:highlight w:val="none"/>
                <w:lang w:bidi="ar"/>
              </w:rPr>
              <w:t>至今未收到相关方及顾客投诉抱怨；</w:t>
            </w:r>
          </w:p>
          <w:p>
            <w:pPr>
              <w:spacing w:line="360" w:lineRule="atLeast"/>
              <w:rPr>
                <w:color w:val="auto"/>
                <w:highlight w:val="none"/>
              </w:rPr>
            </w:pPr>
            <w:r>
              <w:rPr>
                <w:rFonts w:hint="eastAsia" w:ascii="宋体" w:hAnsi="宋体" w:cs="宋体"/>
                <w:color w:val="auto"/>
                <w:sz w:val="21"/>
                <w:szCs w:val="21"/>
                <w:highlight w:val="none"/>
                <w:lang w:bidi="ar"/>
              </w:rPr>
              <w:t>管理评审结论：环境方针、目标适宜，体系符合企业现状，公司建立的管理体系适宜、充分、有效</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改进 总则</w:t>
            </w:r>
          </w:p>
          <w:p>
            <w:pPr>
              <w:adjustRightInd w:val="0"/>
              <w:snapToGrid w:val="0"/>
              <w:jc w:val="center"/>
              <w:rPr>
                <w:color w:val="auto"/>
                <w:highlight w:val="none"/>
              </w:rPr>
            </w:pPr>
            <w:r>
              <w:rPr>
                <w:rFonts w:hint="eastAsia" w:ascii="宋体" w:hAnsi="宋体"/>
                <w:color w:val="auto"/>
                <w:sz w:val="21"/>
                <w:szCs w:val="21"/>
                <w:highlight w:val="none"/>
              </w:rPr>
              <w:t>持续改进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10.1;10.3；</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p>
        </w:tc>
        <w:tc>
          <w:tcPr>
            <w:tcW w:w="10637"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不合格品控制程序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s="宋体"/>
                <w:color w:val="auto"/>
                <w:kern w:val="0"/>
                <w:szCs w:val="21"/>
                <w:highlight w:val="none"/>
              </w:rPr>
              <w:t>纠正预防措施控制程序</w:t>
            </w:r>
            <w:r>
              <w:rPr>
                <w:rFonts w:hint="eastAsia" w:ascii="宋体" w:hAnsi="宋体"/>
                <w:color w:val="auto"/>
                <w:sz w:val="21"/>
                <w:szCs w:val="21"/>
                <w:highlight w:val="none"/>
                <w:lang w:eastAsia="zh-CN"/>
              </w:rPr>
              <w:t>》</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公司通过方针、目标的达成分析、内部审核结果、数据资料统计分析、纠正和预防措施和管理评审等方式，以推动环境管理体系的持续改进。</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highlight w:val="none"/>
              </w:rPr>
            </w:pPr>
            <w:r>
              <w:rPr>
                <w:rFonts w:hint="eastAsia" w:ascii="宋体" w:hAnsi="宋体"/>
                <w:color w:val="auto"/>
                <w:sz w:val="21"/>
                <w:szCs w:val="21"/>
                <w:highlight w:val="none"/>
                <w:lang w:eastAsia="zh-CN"/>
              </w:rPr>
              <w:t>范围的确认、资质的确认、法律法规执行情况、环保抽查及相关投诉情况、</w:t>
            </w:r>
            <w:r>
              <w:rPr>
                <w:rFonts w:hint="eastAsia" w:ascii="宋体" w:hAnsi="宋体"/>
                <w:color w:val="auto"/>
                <w:sz w:val="21"/>
                <w:szCs w:val="21"/>
                <w:highlight w:val="none"/>
                <w:lang w:val="en-US" w:eastAsia="zh-CN"/>
              </w:rPr>
              <w:t>一阶段问题验证</w:t>
            </w:r>
            <w:r>
              <w:rPr>
                <w:rFonts w:hint="eastAsia" w:ascii="宋体" w:hAnsi="宋体"/>
                <w:color w:val="auto"/>
                <w:sz w:val="21"/>
                <w:szCs w:val="21"/>
                <w:highlight w:val="none"/>
                <w:lang w:eastAsia="zh-CN"/>
              </w:rPr>
              <w:t>。</w:t>
            </w:r>
          </w:p>
        </w:tc>
        <w:tc>
          <w:tcPr>
            <w:tcW w:w="960" w:type="dxa"/>
            <w:vAlign w:val="top"/>
          </w:tcPr>
          <w:p>
            <w:pPr>
              <w:jc w:val="both"/>
              <w:rPr>
                <w:color w:val="auto"/>
                <w:highlight w:val="none"/>
              </w:rPr>
            </w:pPr>
          </w:p>
        </w:tc>
        <w:tc>
          <w:tcPr>
            <w:tcW w:w="10637" w:type="dxa"/>
            <w:vAlign w:val="center"/>
          </w:tcPr>
          <w:p>
            <w:pPr>
              <w:spacing w:line="360" w:lineRule="auto"/>
              <w:ind w:firstLine="420" w:firstLineChars="200"/>
              <w:rPr>
                <w:rFonts w:hint="eastAsia"/>
                <w:color w:val="auto"/>
                <w:highlight w:val="none"/>
                <w:lang w:eastAsia="zh-CN"/>
              </w:rPr>
            </w:pPr>
            <w:r>
              <w:rPr>
                <w:rFonts w:hint="eastAsia"/>
                <w:color w:val="auto"/>
                <w:highlight w:val="none"/>
                <w:lang w:val="en-US" w:eastAsia="zh-CN"/>
              </w:rPr>
              <w:t>现场</w:t>
            </w:r>
            <w:r>
              <w:rPr>
                <w:rFonts w:hint="eastAsia"/>
                <w:color w:val="auto"/>
                <w:highlight w:val="none"/>
              </w:rPr>
              <w:t>确认，公司</w:t>
            </w:r>
            <w:r>
              <w:rPr>
                <w:rFonts w:hint="eastAsia"/>
                <w:color w:val="auto"/>
                <w:highlight w:val="none"/>
                <w:lang w:eastAsia="zh-CN"/>
              </w:rPr>
              <w:t>环境</w:t>
            </w:r>
            <w:r>
              <w:rPr>
                <w:rFonts w:hint="eastAsia"/>
                <w:color w:val="auto"/>
                <w:highlight w:val="none"/>
              </w:rPr>
              <w:t>管理体系</w:t>
            </w:r>
            <w:r>
              <w:rPr>
                <w:rFonts w:hint="eastAsia"/>
                <w:color w:val="auto"/>
                <w:highlight w:val="none"/>
                <w:lang w:eastAsia="zh-CN"/>
              </w:rPr>
              <w:t>覆盖范围：</w:t>
            </w:r>
          </w:p>
          <w:p>
            <w:pPr>
              <w:spacing w:line="360" w:lineRule="auto"/>
              <w:ind w:firstLine="420" w:firstLineChars="200"/>
              <w:rPr>
                <w:rFonts w:hint="eastAsia"/>
                <w:color w:val="auto"/>
                <w:highlight w:val="none"/>
                <w:lang w:eastAsia="zh-CN"/>
              </w:rPr>
            </w:pPr>
            <w:r>
              <w:rPr>
                <w:rFonts w:hint="eastAsia"/>
                <w:color w:val="auto"/>
                <w:highlight w:val="none"/>
                <w:lang w:eastAsia="zh-CN"/>
              </w:rPr>
              <w:t>塑胶制品、纸制品、木制品、金属制品的销售所涉及场所的相关环境管理活动 。</w:t>
            </w:r>
          </w:p>
          <w:p>
            <w:pPr>
              <w:spacing w:line="360" w:lineRule="auto"/>
              <w:ind w:firstLine="420" w:firstLineChars="200"/>
              <w:rPr>
                <w:rFonts w:hint="eastAsia"/>
                <w:color w:val="auto"/>
                <w:highlight w:val="none"/>
                <w:lang w:eastAsia="zh-CN"/>
              </w:rPr>
            </w:pPr>
            <w:r>
              <w:rPr>
                <w:rFonts w:hint="eastAsia"/>
                <w:color w:val="auto"/>
                <w:highlight w:val="none"/>
                <w:lang w:eastAsia="zh-CN"/>
              </w:rPr>
              <w:t>提供营业执照（三证合一），检查有效。公司严格执行国标及企业标准要求和法律、法规要求。</w:t>
            </w:r>
          </w:p>
          <w:p>
            <w:pPr>
              <w:spacing w:line="360" w:lineRule="auto"/>
              <w:ind w:firstLine="420" w:firstLineChars="200"/>
              <w:rPr>
                <w:rFonts w:hint="eastAsia"/>
                <w:color w:val="auto"/>
                <w:highlight w:val="none"/>
                <w:lang w:eastAsia="zh-CN"/>
              </w:rPr>
            </w:pPr>
            <w:r>
              <w:rPr>
                <w:rFonts w:hint="eastAsia"/>
                <w:color w:val="auto"/>
                <w:highlight w:val="none"/>
                <w:lang w:eastAsia="zh-CN"/>
              </w:rPr>
              <w:t>20</w:t>
            </w:r>
            <w:r>
              <w:rPr>
                <w:rFonts w:hint="eastAsia"/>
                <w:color w:val="auto"/>
                <w:highlight w:val="none"/>
                <w:lang w:val="en-US" w:eastAsia="zh-CN"/>
              </w:rPr>
              <w:t>22</w:t>
            </w:r>
            <w:r>
              <w:rPr>
                <w:rFonts w:hint="eastAsia"/>
                <w:color w:val="auto"/>
                <w:highlight w:val="none"/>
                <w:lang w:eastAsia="zh-CN"/>
              </w:rPr>
              <w:t>年</w:t>
            </w:r>
            <w:r>
              <w:rPr>
                <w:rFonts w:hint="eastAsia"/>
                <w:color w:val="auto"/>
                <w:highlight w:val="none"/>
                <w:lang w:val="en-US" w:eastAsia="zh-CN"/>
              </w:rPr>
              <w:t>1</w:t>
            </w:r>
            <w:r>
              <w:rPr>
                <w:rFonts w:hint="eastAsia"/>
                <w:color w:val="auto"/>
                <w:highlight w:val="none"/>
                <w:lang w:eastAsia="zh-CN"/>
              </w:rPr>
              <w:t>月至今，公司没有环保抽查情况，没有相关的环境投诉。</w:t>
            </w:r>
          </w:p>
          <w:p>
            <w:pPr>
              <w:spacing w:line="400" w:lineRule="exact"/>
              <w:ind w:firstLine="420" w:firstLineChars="200"/>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一阶段问题验证：</w:t>
            </w:r>
            <w:r>
              <w:rPr>
                <w:rFonts w:hint="eastAsia" w:cs="Times New Roman"/>
                <w:color w:val="auto"/>
                <w:szCs w:val="22"/>
                <w:highlight w:val="none"/>
                <w:lang w:val="en-US" w:eastAsia="zh-CN"/>
              </w:rPr>
              <w:t>无</w:t>
            </w:r>
            <w:r>
              <w:rPr>
                <w:rFonts w:hint="eastAsia" w:ascii="Times New Roman" w:hAnsi="Times New Roman" w:eastAsia="宋体" w:cs="Times New Roman"/>
                <w:color w:val="auto"/>
                <w:szCs w:val="22"/>
                <w:highlight w:val="none"/>
                <w:lang w:val="en-US" w:eastAsia="zh-CN"/>
              </w:rPr>
              <w:t>。</w:t>
            </w:r>
          </w:p>
          <w:p>
            <w:pPr>
              <w:pStyle w:val="3"/>
              <w:rPr>
                <w:rFonts w:hint="default"/>
                <w:color w:val="auto"/>
                <w:highlight w:val="none"/>
                <w:lang w:val="en-US"/>
              </w:rPr>
            </w:pPr>
          </w:p>
        </w:tc>
        <w:tc>
          <w:tcPr>
            <w:tcW w:w="952" w:type="dxa"/>
          </w:tcPr>
          <w:p>
            <w:pPr>
              <w:rPr>
                <w:color w:val="auto"/>
                <w:highlight w:val="none"/>
              </w:rPr>
            </w:pPr>
            <w:r>
              <w:rPr>
                <w:rFonts w:hint="eastAsia"/>
                <w:color w:val="auto"/>
                <w:highlight w:val="none"/>
                <w:lang w:val="en-US" w:eastAsia="zh-CN"/>
              </w:rPr>
              <w:t>符合</w:t>
            </w:r>
          </w:p>
        </w:tc>
      </w:tr>
    </w:tbl>
    <w:p>
      <w:pPr>
        <w:rPr>
          <w:rFonts w:hint="eastAsia"/>
          <w:color w:val="auto"/>
          <w:highlight w:val="none"/>
        </w:rPr>
      </w:pPr>
      <w:r>
        <w:rPr>
          <w:rFonts w:hint="eastAsia"/>
          <w:color w:val="auto"/>
          <w:highlight w:val="none"/>
        </w:rPr>
        <w:t>说明：不符合标注N</w:t>
      </w: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涉及</w:t>
            </w:r>
          </w:p>
          <w:p>
            <w:pPr>
              <w:spacing w:before="12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条款</w:t>
            </w:r>
          </w:p>
        </w:tc>
        <w:tc>
          <w:tcPr>
            <w:tcW w:w="10565" w:type="dxa"/>
            <w:vAlign w:val="center"/>
          </w:tcPr>
          <w:p>
            <w:pPr>
              <w:spacing w:before="12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受审核部门：</w:t>
            </w:r>
            <w:r>
              <w:rPr>
                <w:rFonts w:hint="eastAsia" w:cs="Times New Roman"/>
                <w:color w:val="auto"/>
                <w:sz w:val="24"/>
                <w:szCs w:val="24"/>
                <w:highlight w:val="none"/>
                <w:lang w:val="en-US" w:eastAsia="zh-CN"/>
              </w:rPr>
              <w:t>综合部</w:t>
            </w:r>
            <w:r>
              <w:rPr>
                <w:rFonts w:hint="eastAsia" w:ascii="Times New Roman" w:hAnsi="Times New Roman" w:eastAsia="宋体" w:cs="Times New Roman"/>
                <w:color w:val="auto"/>
                <w:sz w:val="24"/>
                <w:szCs w:val="24"/>
                <w:highlight w:val="none"/>
                <w:lang w:val="en-US" w:eastAsia="zh-CN"/>
              </w:rPr>
              <w:t xml:space="preserve">（含财务）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曾小玲</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陪同人员：</w:t>
            </w:r>
            <w:r>
              <w:rPr>
                <w:rFonts w:hint="eastAsia" w:cs="Times New Roman"/>
                <w:color w:val="auto"/>
                <w:sz w:val="24"/>
                <w:szCs w:val="24"/>
                <w:highlight w:val="none"/>
                <w:lang w:val="en-US" w:eastAsia="zh-CN"/>
              </w:rPr>
              <w:t>代安华</w:t>
            </w:r>
          </w:p>
        </w:tc>
        <w:tc>
          <w:tcPr>
            <w:tcW w:w="1024"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65"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冉景洲        </w:t>
            </w:r>
            <w:r>
              <w:rPr>
                <w:rFonts w:hint="eastAsia"/>
                <w:color w:val="auto"/>
                <w:sz w:val="24"/>
                <w:szCs w:val="24"/>
                <w:highlight w:val="none"/>
              </w:rPr>
              <w:t>审核时间：</w:t>
            </w:r>
            <w:r>
              <w:rPr>
                <w:rFonts w:hint="eastAsia"/>
                <w:color w:val="auto"/>
                <w:sz w:val="24"/>
                <w:szCs w:val="24"/>
                <w:highlight w:val="none"/>
                <w:lang w:val="en-US" w:eastAsia="zh-CN"/>
              </w:rPr>
              <w:t>2022年7月30日</w:t>
            </w:r>
          </w:p>
        </w:tc>
        <w:tc>
          <w:tcPr>
            <w:tcW w:w="102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65" w:type="dxa"/>
            <w:vAlign w:val="center"/>
          </w:tcPr>
          <w:p>
            <w:pPr>
              <w:rPr>
                <w:rFonts w:hint="eastAsia"/>
                <w:color w:val="auto"/>
                <w:sz w:val="24"/>
                <w:szCs w:val="24"/>
                <w:highlight w:val="none"/>
              </w:rPr>
            </w:pPr>
            <w:r>
              <w:rPr>
                <w:rFonts w:hint="eastAsia"/>
                <w:color w:val="auto"/>
                <w:sz w:val="24"/>
                <w:szCs w:val="24"/>
                <w:highlight w:val="none"/>
              </w:rPr>
              <w:t>审核条款：</w:t>
            </w:r>
          </w:p>
          <w:p>
            <w:pPr>
              <w:rPr>
                <w:color w:val="auto"/>
                <w:sz w:val="24"/>
                <w:szCs w:val="24"/>
                <w:highlight w:val="none"/>
              </w:rPr>
            </w:pPr>
            <w:r>
              <w:rPr>
                <w:rFonts w:hint="eastAsia" w:ascii="宋体" w:hAnsi="宋体" w:cs="Times New Roman"/>
                <w:color w:val="auto"/>
                <w:sz w:val="18"/>
                <w:szCs w:val="18"/>
                <w:highlight w:val="none"/>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tc>
        <w:tc>
          <w:tcPr>
            <w:tcW w:w="102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highlight w:val="none"/>
              </w:rPr>
            </w:pPr>
            <w:r>
              <w:rPr>
                <w:rFonts w:hint="eastAsia" w:ascii="宋体" w:hAnsi="宋体" w:cs="新宋体"/>
                <w:color w:val="auto"/>
                <w:sz w:val="21"/>
                <w:szCs w:val="21"/>
                <w:highlight w:val="none"/>
              </w:rPr>
              <w:t>组织的角色、职责和权限</w:t>
            </w:r>
          </w:p>
          <w:p>
            <w:pPr>
              <w:adjustRightInd w:val="0"/>
              <w:snapToGrid w:val="0"/>
              <w:jc w:val="center"/>
              <w:rPr>
                <w:color w:val="auto"/>
                <w:highlight w:val="none"/>
              </w:rPr>
            </w:pPr>
          </w:p>
        </w:tc>
        <w:tc>
          <w:tcPr>
            <w:tcW w:w="960" w:type="dxa"/>
            <w:vAlign w:val="top"/>
          </w:tcPr>
          <w:p>
            <w:pPr>
              <w:rPr>
                <w:color w:val="auto"/>
                <w:highlight w:val="none"/>
              </w:rPr>
            </w:pPr>
            <w:r>
              <w:rPr>
                <w:rFonts w:hint="eastAsia" w:ascii="宋体" w:hAnsi="宋体" w:cs="新宋体"/>
                <w:color w:val="auto"/>
                <w:sz w:val="21"/>
                <w:szCs w:val="21"/>
                <w:highlight w:val="none"/>
              </w:rPr>
              <w:t xml:space="preserve">5.3； </w:t>
            </w:r>
          </w:p>
        </w:tc>
        <w:tc>
          <w:tcPr>
            <w:tcW w:w="10565" w:type="dxa"/>
            <w:vAlign w:val="top"/>
          </w:tcPr>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查《岗位职责》，已经明确了</w:t>
            </w:r>
            <w:r>
              <w:rPr>
                <w:rFonts w:hint="eastAsia" w:ascii="宋体" w:hAnsi="宋体"/>
                <w:color w:val="auto"/>
                <w:szCs w:val="21"/>
                <w:highlight w:val="none"/>
                <w:lang w:eastAsia="zh-CN"/>
              </w:rPr>
              <w:t>综合部</w:t>
            </w:r>
            <w:r>
              <w:rPr>
                <w:rFonts w:hint="eastAsia" w:ascii="宋体" w:hAnsi="宋体"/>
                <w:color w:val="auto"/>
                <w:szCs w:val="21"/>
                <w:highlight w:val="none"/>
              </w:rPr>
              <w:t>的岗位职责，具体为：</w:t>
            </w:r>
          </w:p>
          <w:p>
            <w:pPr>
              <w:spacing w:line="400" w:lineRule="atLeast"/>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1）负责公司的行政管理工作，对所负责工作的质量负责；</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2)负责人事管理、员工培训、考核及管理。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3)负责组织公司各项教育培训工作。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4)负责公司体系文件的推行工作和监督实施。</w:t>
            </w:r>
          </w:p>
          <w:p>
            <w:pPr>
              <w:spacing w:line="320" w:lineRule="exact"/>
              <w:textAlignment w:val="baseline"/>
              <w:rPr>
                <w:rFonts w:ascii="宋体" w:hAnsi="宋体"/>
                <w:color w:val="auto"/>
                <w:szCs w:val="21"/>
                <w:highlight w:val="none"/>
              </w:rPr>
            </w:pPr>
            <w:r>
              <w:rPr>
                <w:rFonts w:hint="eastAsia" w:ascii="宋体" w:hAnsi="宋体" w:cs="宋体"/>
                <w:color w:val="auto"/>
                <w:szCs w:val="21"/>
                <w:highlight w:val="none"/>
              </w:rPr>
              <w:t>5）负责确保环保资金资金的落实</w:t>
            </w:r>
            <w:r>
              <w:rPr>
                <w:rFonts w:hint="eastAsia" w:ascii="宋体" w:hAnsi="宋体"/>
                <w:color w:val="auto"/>
                <w:szCs w:val="21"/>
                <w:highlight w:val="none"/>
                <w:lang w:val="en-US"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部门职责清晰、明确。</w:t>
            </w:r>
          </w:p>
          <w:p>
            <w:pPr>
              <w:widowControl/>
              <w:jc w:val="left"/>
              <w:rPr>
                <w:color w:val="auto"/>
                <w:highlight w:val="none"/>
              </w:rPr>
            </w:pP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和财务部负责人能基本阐述本部门的主要职责。</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color w:val="auto"/>
                <w:highlight w:val="none"/>
              </w:rPr>
            </w:pPr>
            <w:r>
              <w:rPr>
                <w:rFonts w:hint="eastAsia" w:ascii="宋体" w:hAnsi="宋体" w:cs="新宋体"/>
                <w:color w:val="auto"/>
                <w:szCs w:val="21"/>
                <w:highlight w:val="none"/>
              </w:rPr>
              <w:t>环境因素</w:t>
            </w:r>
          </w:p>
        </w:tc>
        <w:tc>
          <w:tcPr>
            <w:tcW w:w="960" w:type="dxa"/>
            <w:vAlign w:val="top"/>
          </w:tcPr>
          <w:p>
            <w:pPr>
              <w:rPr>
                <w:rFonts w:hint="default" w:ascii="宋体" w:hAnsi="宋体" w:eastAsia="宋体" w:cs="新宋体"/>
                <w:color w:val="auto"/>
                <w:sz w:val="21"/>
                <w:szCs w:val="21"/>
                <w:highlight w:val="none"/>
                <w:lang w:val="en-US" w:eastAsia="zh-CN"/>
              </w:rPr>
            </w:pPr>
            <w:r>
              <w:rPr>
                <w:rFonts w:hint="eastAsia" w:ascii="宋体" w:hAnsi="宋体" w:cs="新宋体"/>
                <w:color w:val="auto"/>
                <w:sz w:val="21"/>
                <w:szCs w:val="21"/>
                <w:highlight w:val="none"/>
                <w:lang w:val="en-US" w:eastAsia="zh-CN"/>
              </w:rPr>
              <w:t>6.1.2</w:t>
            </w:r>
          </w:p>
        </w:tc>
        <w:tc>
          <w:tcPr>
            <w:tcW w:w="10565"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kern w:val="0"/>
                <w:szCs w:val="21"/>
                <w:highlight w:val="none"/>
              </w:rPr>
              <w:t>环境因素危险源的识别和评价控制程序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综合部202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查见：《环境因素识别与评价清单》和《重要环境因素清单》，按照部门和经营过程进行识别并评价出公司重要环境因素有：</w:t>
            </w:r>
            <w:r>
              <w:rPr>
                <w:rFonts w:hint="eastAsia" w:ascii="宋体" w:hAnsi="宋体" w:cs="宋体"/>
                <w:color w:val="auto"/>
                <w:szCs w:val="21"/>
                <w:highlight w:val="none"/>
                <w:lang w:val="en-US" w:eastAsia="zh-CN"/>
              </w:rPr>
              <w:t>潜在</w:t>
            </w:r>
            <w:r>
              <w:rPr>
                <w:rFonts w:hint="eastAsia"/>
                <w:color w:val="auto"/>
                <w:szCs w:val="21"/>
                <w:highlight w:val="none"/>
              </w:rPr>
              <w:t>火灾、固废排放</w:t>
            </w:r>
            <w:r>
              <w:rPr>
                <w:rFonts w:hint="eastAsia" w:ascii="宋体" w:hAnsi="宋体" w:cs="宋体"/>
                <w:color w:val="auto"/>
                <w:szCs w:val="21"/>
                <w:highlight w:val="none"/>
              </w:rPr>
              <w:t>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查：公司《环境因素识别与评价清单》，涉及以下内容：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废复写纸丢弃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复印机的臭氧排放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空调氟的泄漏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空调水的排放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一次性纸杯丢弃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废弃物丢弃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废包装材料丢弃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项。识别基本清楚、全面。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widowControl/>
              <w:jc w:val="left"/>
              <w:rPr>
                <w:rFonts w:hint="eastAsia" w:ascii="宋体" w:hAnsi="宋体"/>
                <w:color w:val="auto"/>
                <w:szCs w:val="21"/>
                <w:highlight w:val="none"/>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项。识别基本清楚、全面。</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法规与其他要求/合规性义务</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6.1.3</w:t>
            </w:r>
          </w:p>
          <w:p>
            <w:pPr>
              <w:rPr>
                <w:rFonts w:hint="default"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 </w:t>
            </w:r>
          </w:p>
        </w:tc>
        <w:tc>
          <w:tcPr>
            <w:tcW w:w="10565" w:type="dxa"/>
            <w:vAlign w:val="top"/>
          </w:tcPr>
          <w:p>
            <w:pPr>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有《</w:t>
            </w:r>
            <w:r>
              <w:rPr>
                <w:rFonts w:hint="eastAsia"/>
                <w:color w:val="auto"/>
                <w:sz w:val="21"/>
                <w:szCs w:val="21"/>
                <w:highlight w:val="none"/>
                <w:lang w:eastAsia="zh-CN"/>
              </w:rPr>
              <w:t>法律法规和其他要求管理程序</w:t>
            </w:r>
            <w:r>
              <w:rPr>
                <w:rFonts w:hint="eastAsia" w:ascii="宋体" w:hAnsi="宋体" w:cs="宋体"/>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 w:val="21"/>
                <w:szCs w:val="21"/>
                <w:highlight w:val="none"/>
              </w:rPr>
              <w:t>查有《</w:t>
            </w:r>
            <w:r>
              <w:rPr>
                <w:rFonts w:hint="eastAsia" w:ascii="宋体" w:hAnsi="宋体"/>
                <w:color w:val="auto"/>
                <w:sz w:val="21"/>
                <w:szCs w:val="21"/>
                <w:highlight w:val="none"/>
              </w:rPr>
              <w:t>法律法规和其他要求清单</w:t>
            </w:r>
            <w:r>
              <w:rPr>
                <w:rFonts w:hint="eastAsia" w:ascii="宋体" w:hAnsi="宋体" w:cs="宋体"/>
                <w:color w:val="auto"/>
                <w:sz w:val="21"/>
                <w:szCs w:val="21"/>
                <w:highlight w:val="none"/>
              </w:rPr>
              <w:t>》，对本公司环境管理体系适用的法律法规和当地政府</w:t>
            </w:r>
            <w:r>
              <w:rPr>
                <w:rFonts w:hint="eastAsia" w:ascii="宋体" w:hAnsi="宋体" w:cs="宋体"/>
                <w:color w:val="auto"/>
                <w:szCs w:val="21"/>
                <w:highlight w:val="none"/>
              </w:rPr>
              <w:t>、行业要求进行了识别，包括环境标准、排放标准、等。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olor w:val="auto"/>
                <w:sz w:val="21"/>
                <w:szCs w:val="21"/>
                <w:highlight w:val="none"/>
              </w:rPr>
              <w:t>法律法规和其他要求清单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重庆市</w:t>
            </w:r>
            <w:r>
              <w:rPr>
                <w:rFonts w:hint="eastAsia" w:ascii="宋体" w:hAnsi="宋体" w:cs="宋体"/>
                <w:color w:val="auto"/>
                <w:szCs w:val="21"/>
                <w:highlight w:val="none"/>
              </w:rPr>
              <w:t>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固体废弃物污染防治法等</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《清单》中列出了文件名称、实施日期、涉及条款、登记日期等内容；</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法规清单上传内部网络，以培训和宣传结合向员工传达要求，记录充分。基本符合要求。</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highlight w:val="none"/>
              </w:rPr>
            </w:pPr>
            <w:r>
              <w:rPr>
                <w:rFonts w:hint="eastAsia" w:ascii="宋体" w:hAnsi="宋体" w:cs="新宋体"/>
                <w:color w:val="auto"/>
                <w:sz w:val="21"/>
                <w:szCs w:val="21"/>
                <w:highlight w:val="none"/>
              </w:rPr>
              <w:t>目标及其实现的策划</w:t>
            </w:r>
          </w:p>
        </w:tc>
        <w:tc>
          <w:tcPr>
            <w:tcW w:w="960" w:type="dxa"/>
            <w:vAlign w:val="top"/>
          </w:tcPr>
          <w:p>
            <w:pPr>
              <w:jc w:val="left"/>
              <w:rPr>
                <w:color w:val="auto"/>
                <w:highlight w:val="none"/>
              </w:rPr>
            </w:pPr>
            <w:r>
              <w:rPr>
                <w:rFonts w:hint="eastAsia" w:ascii="宋体" w:hAnsi="宋体" w:cs="新宋体"/>
                <w:color w:val="auto"/>
                <w:sz w:val="21"/>
                <w:szCs w:val="21"/>
                <w:highlight w:val="none"/>
              </w:rPr>
              <w:t>6.2</w:t>
            </w:r>
          </w:p>
        </w:tc>
        <w:tc>
          <w:tcPr>
            <w:tcW w:w="10565" w:type="dxa"/>
            <w:vAlign w:val="top"/>
          </w:tcPr>
          <w:p>
            <w:pPr>
              <w:spacing w:line="400" w:lineRule="atLeast"/>
              <w:ind w:right="170"/>
              <w:jc w:val="left"/>
              <w:rPr>
                <w:rFonts w:hint="eastAsia" w:ascii="宋体" w:hAnsi="宋体" w:eastAsia="宋体" w:cs="Arial"/>
                <w:iCs/>
                <w:color w:val="auto"/>
                <w:sz w:val="21"/>
                <w:szCs w:val="21"/>
                <w:highlight w:val="none"/>
                <w:lang w:val="en-US" w:eastAsia="zh-CN" w:bidi="ar"/>
              </w:rPr>
            </w:pPr>
            <w:r>
              <w:rPr>
                <w:rFonts w:hint="eastAsia" w:ascii="宋体" w:hAnsi="宋体" w:cs="Arial"/>
                <w:iCs/>
                <w:color w:val="auto"/>
                <w:sz w:val="21"/>
                <w:szCs w:val="21"/>
                <w:highlight w:val="none"/>
                <w:lang w:bidi="ar"/>
              </w:rPr>
              <w:t>查</w:t>
            </w:r>
            <w:r>
              <w:rPr>
                <w:rFonts w:hint="eastAsia" w:ascii="宋体" w:hAnsi="宋体" w:cs="Arial"/>
                <w:iCs/>
                <w:color w:val="auto"/>
                <w:sz w:val="21"/>
                <w:szCs w:val="21"/>
                <w:highlight w:val="none"/>
                <w:lang w:val="en-US" w:eastAsia="zh-CN" w:bidi="ar"/>
              </w:rPr>
              <w:t>综合部</w:t>
            </w:r>
            <w:r>
              <w:rPr>
                <w:rFonts w:hint="eastAsia" w:ascii="宋体" w:hAnsi="宋体" w:eastAsia="宋体" w:cs="Arial"/>
                <w:iCs/>
                <w:color w:val="auto"/>
                <w:sz w:val="21"/>
                <w:szCs w:val="21"/>
                <w:highlight w:val="none"/>
                <w:lang w:val="en-US" w:eastAsia="zh-CN" w:bidi="ar"/>
              </w:rPr>
              <w:t>的环境目标为：</w:t>
            </w:r>
          </w:p>
          <w:p>
            <w:pPr>
              <w:tabs>
                <w:tab w:val="left" w:pos="4128"/>
              </w:tabs>
              <w:spacing w:line="400" w:lineRule="atLeast"/>
              <w:ind w:right="170"/>
              <w:jc w:val="left"/>
              <w:rPr>
                <w:rFonts w:hint="eastAsia" w:ascii="宋体" w:hAnsi="宋体" w:cs="Arial"/>
                <w:iCs/>
                <w:color w:val="auto"/>
                <w:sz w:val="21"/>
                <w:szCs w:val="21"/>
                <w:highlight w:val="none"/>
                <w:lang w:val="en-US" w:eastAsia="zh-CN" w:bidi="ar"/>
              </w:rPr>
            </w:pPr>
            <w:r>
              <w:rPr>
                <w:rFonts w:hint="eastAsia" w:ascii="宋体" w:hAnsi="宋体" w:eastAsia="宋体" w:cs="Arial"/>
                <w:iCs/>
                <w:color w:val="auto"/>
                <w:sz w:val="21"/>
                <w:szCs w:val="21"/>
                <w:highlight w:val="none"/>
                <w:lang w:val="en-US" w:eastAsia="zh-CN" w:bidi="ar"/>
              </w:rPr>
              <w:t>1、火</w:t>
            </w:r>
            <w:r>
              <w:rPr>
                <w:rFonts w:hint="eastAsia" w:ascii="宋体" w:hAnsi="宋体" w:cs="Arial"/>
                <w:iCs/>
                <w:color w:val="auto"/>
                <w:sz w:val="21"/>
                <w:szCs w:val="21"/>
                <w:highlight w:val="none"/>
                <w:lang w:val="en-US" w:eastAsia="zh-CN" w:bidi="ar"/>
              </w:rPr>
              <w:t>灾事故为0；</w:t>
            </w:r>
          </w:p>
          <w:p>
            <w:pPr>
              <w:tabs>
                <w:tab w:val="left" w:pos="4128"/>
              </w:tabs>
              <w:spacing w:line="400" w:lineRule="atLeast"/>
              <w:ind w:right="17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2、固体废弃物100%合规处理；</w:t>
            </w:r>
          </w:p>
          <w:p>
            <w:pPr>
              <w:tabs>
                <w:tab w:val="left" w:pos="4128"/>
              </w:tabs>
              <w:spacing w:line="400" w:lineRule="atLeast"/>
              <w:ind w:right="17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查《2022年度目标及实施情况统计》考核期限2022年1-7月</w:t>
            </w:r>
          </w:p>
          <w:p>
            <w:pPr>
              <w:tabs>
                <w:tab w:val="left" w:pos="4128"/>
              </w:tabs>
              <w:spacing w:line="400" w:lineRule="atLeast"/>
              <w:ind w:right="17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1、火灾事故为0；                        实测：0</w:t>
            </w:r>
          </w:p>
          <w:p>
            <w:pPr>
              <w:tabs>
                <w:tab w:val="left" w:pos="4128"/>
              </w:tabs>
              <w:spacing w:line="400" w:lineRule="atLeast"/>
              <w:ind w:right="170"/>
              <w:jc w:val="left"/>
              <w:rPr>
                <w:rFonts w:hint="default" w:ascii="宋体" w:hAnsi="宋体" w:eastAsia="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2、固体废弃物100%合规处理</w:t>
            </w:r>
            <w:r>
              <w:rPr>
                <w:rFonts w:hint="eastAsia" w:ascii="宋体" w:hAnsi="宋体" w:eastAsia="宋体" w:cs="Arial"/>
                <w:iCs/>
                <w:color w:val="auto"/>
                <w:sz w:val="21"/>
                <w:szCs w:val="21"/>
                <w:highlight w:val="none"/>
                <w:lang w:val="en-US" w:eastAsia="zh-CN" w:bidi="ar"/>
              </w:rPr>
              <w:t>；</w:t>
            </w:r>
            <w:r>
              <w:rPr>
                <w:rFonts w:hint="eastAsia" w:ascii="宋体" w:hAnsi="宋体" w:cs="Arial"/>
                <w:iCs/>
                <w:color w:val="auto"/>
                <w:sz w:val="21"/>
                <w:szCs w:val="21"/>
                <w:highlight w:val="none"/>
                <w:lang w:val="en-US" w:eastAsia="zh-CN" w:bidi="ar"/>
              </w:rPr>
              <w:tab/>
            </w:r>
            <w:r>
              <w:rPr>
                <w:rFonts w:hint="eastAsia" w:ascii="宋体" w:hAnsi="宋体" w:cs="Arial"/>
                <w:iCs/>
                <w:color w:val="auto"/>
                <w:sz w:val="21"/>
                <w:szCs w:val="21"/>
                <w:highlight w:val="none"/>
                <w:lang w:val="en-US" w:eastAsia="zh-CN" w:bidi="ar"/>
              </w:rPr>
              <w:t xml:space="preserve"> 实测：100%</w:t>
            </w:r>
          </w:p>
          <w:p>
            <w:pPr>
              <w:pStyle w:val="2"/>
              <w:rPr>
                <w:rFonts w:hint="default"/>
                <w:color w:val="auto"/>
                <w:highlight w:val="none"/>
                <w:lang w:val="en-US" w:eastAsia="zh-CN"/>
              </w:rPr>
            </w:pPr>
          </w:p>
          <w:p>
            <w:pPr>
              <w:widowControl/>
              <w:jc w:val="left"/>
              <w:rPr>
                <w:color w:val="auto"/>
                <w:highlight w:val="none"/>
              </w:rPr>
            </w:pPr>
            <w:r>
              <w:rPr>
                <w:rFonts w:hint="eastAsia" w:ascii="宋体" w:hAnsi="宋体" w:cs="宋体"/>
                <w:color w:val="auto"/>
                <w:sz w:val="21"/>
                <w:szCs w:val="21"/>
                <w:highlight w:val="none"/>
                <w:lang w:bidi="ar"/>
              </w:rPr>
              <w:t>查，公司编制了环境管理实施方案：制定、执行程序或作业文件；加强监测和测量；培训与教育；应急响应。</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565" w:type="dxa"/>
            <w:vAlign w:val="top"/>
          </w:tcPr>
          <w:p>
            <w:pPr>
              <w:spacing w:line="360" w:lineRule="auto"/>
              <w:rPr>
                <w:color w:val="auto"/>
                <w:sz w:val="21"/>
                <w:szCs w:val="21"/>
                <w:highlight w:val="none"/>
              </w:rPr>
            </w:pPr>
            <w:r>
              <w:rPr>
                <w:rFonts w:hint="eastAsia" w:ascii="宋体" w:hAnsi="宋体"/>
                <w:color w:val="auto"/>
                <w:sz w:val="21"/>
                <w:szCs w:val="21"/>
                <w:highlight w:val="none"/>
              </w:rPr>
              <w:t>公司</w:t>
            </w:r>
            <w:r>
              <w:rPr>
                <w:rFonts w:hint="eastAsia" w:ascii="宋体" w:hAnsi="宋体"/>
                <w:color w:val="auto"/>
                <w:sz w:val="21"/>
                <w:szCs w:val="21"/>
                <w:highlight w:val="none"/>
                <w:lang w:val="en-US" w:eastAsia="zh-CN"/>
              </w:rPr>
              <w:t>编制了《</w:t>
            </w:r>
            <w:r>
              <w:rPr>
                <w:rFonts w:hint="eastAsia" w:ascii="宋体" w:hAnsi="宋体" w:cs="宋体"/>
                <w:color w:val="auto"/>
                <w:kern w:val="0"/>
                <w:szCs w:val="21"/>
                <w:highlight w:val="none"/>
              </w:rPr>
              <w:t>人力资源控制程序</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确定了从事的工作影响环境管理体系绩效和有效性且在公司控制范围内的人员所必要的能力，这些能力主要是基于适当的教育、培训或经历等。</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---公司对每个从事影响产品符合性要求及从事的工作影响环境管理体系绩效和有效性的工作人员的能力进行识别，制定培训制度、有计划有目的、系统地提供培训以满足这些需求。</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适用时，采取措施（包括：培训、辅导、重新分配工作或招聘具有能力的人员）获得所需的能力，并评价措施的有效性。保留适当的</w:t>
            </w:r>
            <w:r>
              <w:rPr>
                <w:rFonts w:hint="eastAsia" w:ascii="宋体" w:hAnsi="宋体"/>
                <w:color w:val="auto"/>
                <w:sz w:val="21"/>
                <w:szCs w:val="21"/>
                <w:highlight w:val="none"/>
              </w:rPr>
              <w:t>形成文件的信息，作为人员能力的证据。</w:t>
            </w:r>
          </w:p>
          <w:p>
            <w:pPr>
              <w:spacing w:line="360" w:lineRule="auto"/>
              <w:rPr>
                <w:rFonts w:hint="eastAsia" w:ascii="宋体" w:hAnsi="宋体"/>
                <w:color w:val="auto"/>
                <w:sz w:val="21"/>
                <w:szCs w:val="21"/>
                <w:highlight w:val="none"/>
                <w:lang w:eastAsia="zh-CN"/>
              </w:rPr>
            </w:pPr>
            <w:r>
              <w:rPr>
                <w:rFonts w:hint="eastAsia" w:ascii="宋体" w:hAnsi="宋体" w:cs="宋体"/>
                <w:color w:val="auto"/>
                <w:szCs w:val="21"/>
                <w:highlight w:val="none"/>
              </w:rPr>
              <w:t>查</w:t>
            </w:r>
            <w:r>
              <w:rPr>
                <w:rFonts w:hint="eastAsia" w:ascii="宋体" w:hAnsi="宋体"/>
                <w:color w:val="auto"/>
                <w:sz w:val="21"/>
                <w:szCs w:val="21"/>
                <w:highlight w:val="none"/>
              </w:rPr>
              <w:t>人员资质</w:t>
            </w:r>
            <w:r>
              <w:rPr>
                <w:rFonts w:hint="eastAsia" w:ascii="宋体" w:hAnsi="宋体"/>
                <w:color w:val="auto"/>
                <w:sz w:val="21"/>
                <w:szCs w:val="21"/>
                <w:highlight w:val="none"/>
                <w:lang w:eastAsia="zh-CN"/>
              </w:rPr>
              <w:t>：</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姓名：史少清    证件编号：510727197205062214    作业类别：NI  </w:t>
            </w:r>
          </w:p>
          <w:p>
            <w:pPr>
              <w:spacing w:line="360" w:lineRule="auto"/>
              <w:rPr>
                <w:rFonts w:hint="default"/>
                <w:color w:val="auto"/>
                <w:highlight w:val="none"/>
                <w:lang w:val="en-US" w:eastAsia="zh-CN"/>
              </w:rPr>
            </w:pPr>
            <w:r>
              <w:rPr>
                <w:rFonts w:hint="eastAsia" w:ascii="宋体" w:hAnsi="宋体"/>
                <w:color w:val="auto"/>
                <w:sz w:val="21"/>
                <w:szCs w:val="21"/>
                <w:highlight w:val="none"/>
                <w:lang w:val="en-US" w:eastAsia="zh-CN"/>
              </w:rPr>
              <w:t xml:space="preserve">姓名：盛长清   </w:t>
            </w:r>
            <w:r>
              <w:rPr>
                <w:rFonts w:hint="eastAsia"/>
                <w:color w:val="auto"/>
                <w:highlight w:val="none"/>
                <w:lang w:val="en-US" w:eastAsia="zh-CN"/>
              </w:rPr>
              <w:t xml:space="preserve"> </w:t>
            </w:r>
            <w:r>
              <w:rPr>
                <w:rFonts w:hint="eastAsia" w:ascii="宋体" w:hAnsi="宋体"/>
                <w:color w:val="auto"/>
                <w:sz w:val="21"/>
                <w:szCs w:val="21"/>
                <w:highlight w:val="none"/>
                <w:lang w:val="en-US" w:eastAsia="zh-CN"/>
              </w:rPr>
              <w:t xml:space="preserve">证件编号：512324196511155474    作业类别：NI  </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2022年度</w:t>
            </w:r>
            <w:r>
              <w:rPr>
                <w:rFonts w:hint="eastAsia" w:ascii="宋体" w:hAnsi="宋体"/>
                <w:color w:val="auto"/>
                <w:sz w:val="21"/>
                <w:szCs w:val="21"/>
                <w:highlight w:val="none"/>
              </w:rPr>
              <w:t>培训计划和</w:t>
            </w:r>
            <w:r>
              <w:rPr>
                <w:color w:val="auto"/>
                <w:sz w:val="21"/>
                <w:szCs w:val="21"/>
                <w:highlight w:val="none"/>
              </w:rPr>
              <w:t>培训记录</w:t>
            </w:r>
            <w:r>
              <w:rPr>
                <w:rFonts w:hint="eastAsia"/>
                <w:color w:val="auto"/>
                <w:sz w:val="21"/>
                <w:szCs w:val="21"/>
                <w:highlight w:val="none"/>
                <w:lang w:eastAsia="zh-CN"/>
              </w:rPr>
              <w:t>，</w:t>
            </w:r>
            <w:r>
              <w:rPr>
                <w:rFonts w:hint="eastAsia"/>
                <w:color w:val="auto"/>
                <w:sz w:val="21"/>
                <w:szCs w:val="21"/>
                <w:highlight w:val="none"/>
                <w:lang w:val="en-US" w:eastAsia="zh-CN"/>
              </w:rPr>
              <w:t>计划培训8次，已培训5次</w:t>
            </w:r>
            <w:r>
              <w:rPr>
                <w:rFonts w:hint="eastAsia" w:ascii="宋体" w:hAnsi="宋体"/>
                <w:color w:val="auto"/>
                <w:sz w:val="21"/>
                <w:szCs w:val="21"/>
                <w:highlight w:val="none"/>
              </w:rPr>
              <w:t>。</w:t>
            </w:r>
          </w:p>
          <w:p>
            <w:pPr>
              <w:numPr>
                <w:ilvl w:val="0"/>
                <w:numId w:val="3"/>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.0</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15培训内容：</w:t>
            </w:r>
            <w:r>
              <w:rPr>
                <w:rFonts w:hint="eastAsia"/>
                <w:color w:val="auto"/>
                <w:highlight w:val="none"/>
              </w:rPr>
              <w:t>岗位任职及管理制度知识培训等</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培训教师：</w:t>
            </w:r>
            <w:r>
              <w:rPr>
                <w:rFonts w:hint="eastAsia" w:ascii="宋体" w:hAnsi="宋体"/>
                <w:color w:val="auto"/>
                <w:sz w:val="21"/>
                <w:szCs w:val="21"/>
                <w:highlight w:val="none"/>
                <w:lang w:eastAsia="zh-CN"/>
              </w:rPr>
              <w:t>魏干传</w:t>
            </w:r>
            <w:r>
              <w:rPr>
                <w:rFonts w:hint="eastAsia" w:ascii="宋体" w:hAnsi="宋体"/>
                <w:color w:val="auto"/>
                <w:sz w:val="21"/>
                <w:szCs w:val="21"/>
                <w:highlight w:val="none"/>
              </w:rPr>
              <w:t>，参加培训人员</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各部门主要负责人</w:t>
            </w:r>
            <w:r>
              <w:rPr>
                <w:rFonts w:hint="eastAsia" w:ascii="宋体" w:hAnsi="宋体" w:eastAsia="宋体" w:cs="Times New Roman"/>
                <w:color w:val="auto"/>
                <w:sz w:val="21"/>
                <w:szCs w:val="21"/>
                <w:highlight w:val="none"/>
                <w:lang w:val="en-US" w:eastAsia="zh-CN"/>
              </w:rPr>
              <w:t>。提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color w:val="auto"/>
                <w:highlight w:val="none"/>
              </w:rPr>
              <w:t>通过此次培训，使公司员工对岗位任职及管理制度知识有了很大的提高和了解，此次培训结果有效</w:t>
            </w:r>
            <w:r>
              <w:rPr>
                <w:rFonts w:hint="eastAsia" w:ascii="宋体" w:hAnsi="宋体"/>
                <w:color w:val="auto"/>
                <w:sz w:val="21"/>
                <w:szCs w:val="21"/>
                <w:highlight w:val="none"/>
              </w:rPr>
              <w:t>。评价人：</w:t>
            </w:r>
            <w:r>
              <w:rPr>
                <w:rFonts w:hint="eastAsia" w:ascii="宋体" w:hAnsi="宋体"/>
                <w:color w:val="auto"/>
                <w:sz w:val="21"/>
                <w:szCs w:val="21"/>
                <w:highlight w:val="none"/>
                <w:lang w:eastAsia="zh-CN"/>
              </w:rPr>
              <w:t>魏干传</w:t>
            </w:r>
            <w:r>
              <w:rPr>
                <w:rFonts w:hint="eastAsia" w:ascii="宋体" w:hAnsi="宋体"/>
                <w:color w:val="auto"/>
                <w:sz w:val="21"/>
                <w:szCs w:val="21"/>
                <w:highlight w:val="none"/>
                <w:lang w:val="en-US" w:eastAsia="zh-CN"/>
              </w:rPr>
              <w:t>。</w:t>
            </w:r>
            <w:r>
              <w:rPr>
                <w:rFonts w:hint="eastAsia"/>
                <w:color w:val="auto"/>
                <w:highlight w:val="none"/>
              </w:rPr>
              <w:t xml:space="preserve">  </w:t>
            </w:r>
          </w:p>
          <w:p>
            <w:pPr>
              <w:spacing w:line="36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05培训内容：管理体系内审知识，内审技巧等内容的培训。</w:t>
            </w:r>
            <w:r>
              <w:rPr>
                <w:rFonts w:hint="eastAsia" w:ascii="宋体" w:hAnsi="宋体"/>
                <w:color w:val="auto"/>
                <w:sz w:val="21"/>
                <w:szCs w:val="21"/>
                <w:highlight w:val="none"/>
              </w:rPr>
              <w:t>培训教师：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老师，参加培训人员</w:t>
            </w:r>
            <w:r>
              <w:rPr>
                <w:rFonts w:hint="eastAsia" w:ascii="宋体" w:hAnsi="宋体" w:eastAsia="宋体" w:cs="Times New Roman"/>
                <w:color w:val="auto"/>
                <w:sz w:val="21"/>
                <w:szCs w:val="21"/>
                <w:highlight w:val="none"/>
                <w:lang w:val="en-US" w:eastAsia="zh-CN"/>
              </w:rPr>
              <w:t>：</w:t>
            </w:r>
            <w:r>
              <w:rPr>
                <w:rFonts w:hint="eastAsia" w:ascii="宋体" w:hAnsi="宋体"/>
                <w:color w:val="auto"/>
                <w:sz w:val="21"/>
                <w:szCs w:val="21"/>
                <w:highlight w:val="none"/>
                <w:lang w:eastAsia="zh-CN"/>
              </w:rPr>
              <w:t>刘合清</w:t>
            </w:r>
            <w:r>
              <w:rPr>
                <w:rFonts w:hint="eastAsia" w:ascii="宋体" w:hAnsi="宋体" w:eastAsia="宋体" w:cs="Times New Roman"/>
                <w:color w:val="auto"/>
                <w:sz w:val="21"/>
                <w:szCs w:val="21"/>
                <w:highlight w:val="none"/>
                <w:lang w:val="en-US" w:eastAsia="zh-CN"/>
              </w:rPr>
              <w:t>、</w:t>
            </w:r>
            <w:r>
              <w:rPr>
                <w:rFonts w:hint="eastAsia" w:ascii="宋体" w:hAnsi="宋体"/>
                <w:color w:val="auto"/>
                <w:sz w:val="21"/>
                <w:szCs w:val="21"/>
                <w:highlight w:val="none"/>
                <w:lang w:eastAsia="zh-CN"/>
              </w:rPr>
              <w:t>魏干传</w:t>
            </w:r>
            <w:r>
              <w:rPr>
                <w:rFonts w:hint="eastAsia" w:ascii="宋体" w:hAnsi="宋体" w:eastAsia="宋体" w:cs="Times New Roman"/>
                <w:color w:val="auto"/>
                <w:sz w:val="21"/>
                <w:szCs w:val="21"/>
                <w:highlight w:val="none"/>
                <w:lang w:val="en-US" w:eastAsia="zh-CN"/>
              </w:rPr>
              <w:t>等。提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ascii="宋体" w:hAnsi="宋体"/>
                <w:color w:val="auto"/>
                <w:sz w:val="21"/>
                <w:szCs w:val="21"/>
                <w:highlight w:val="none"/>
                <w:lang w:val="en-US" w:eastAsia="zh-CN"/>
              </w:rPr>
              <w:t>学员掌握基本的内审员知识，达到上岗要求</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咨询老师。</w:t>
            </w:r>
          </w:p>
          <w:p>
            <w:pPr>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spacing w:before="120" w:line="360" w:lineRule="auto"/>
              <w:rPr>
                <w:rFonts w:hint="default" w:ascii="宋体" w:hAnsi="宋体" w:eastAsia="宋体" w:cs="Times New Roman"/>
                <w:color w:val="auto"/>
                <w:kern w:val="2"/>
                <w:sz w:val="21"/>
                <w:szCs w:val="21"/>
                <w:highlight w:val="none"/>
                <w:lang w:val="en-US" w:eastAsia="zh-CN" w:bidi="ar-SA"/>
              </w:rPr>
            </w:pPr>
            <w:r>
              <w:rPr>
                <w:rFonts w:hint="eastAsia" w:ascii="方正仿宋简体" w:eastAsia="方正仿宋简体"/>
                <w:b/>
                <w:color w:val="auto"/>
                <w:highlight w:val="none"/>
                <w:lang w:val="en-US" w:eastAsia="zh-CN"/>
              </w:rPr>
              <w:t>查培训记录，体系建立以来末进行环境管理体系标准培训</w:t>
            </w:r>
            <w:r>
              <w:rPr>
                <w:rFonts w:hint="eastAsia" w:ascii="方正仿宋简体" w:eastAsia="方正仿宋简体"/>
                <w:b/>
                <w:color w:val="auto"/>
                <w:highlight w:val="none"/>
              </w:rPr>
              <w:t>。不符合标准GB/T24001-2016标准7.2条款“</w:t>
            </w:r>
            <w:r>
              <w:rPr>
                <w:rFonts w:hint="eastAsia" w:ascii="方正仿宋简体" w:eastAsia="方正仿宋简体"/>
                <w:b/>
                <w:color w:val="auto"/>
                <w:highlight w:val="none"/>
                <w:lang w:val="en-US" w:eastAsia="zh-CN"/>
              </w:rPr>
              <w:t>b</w:t>
            </w:r>
            <w:r>
              <w:rPr>
                <w:rFonts w:hint="eastAsia" w:ascii="方正仿宋简体" w:eastAsia="方正仿宋简体"/>
                <w:b/>
                <w:color w:val="auto"/>
                <w:highlight w:val="none"/>
              </w:rPr>
              <w:t>）</w:t>
            </w:r>
            <w:r>
              <w:rPr>
                <w:rFonts w:hint="eastAsia" w:ascii="方正仿宋简体" w:eastAsia="方正仿宋简体"/>
                <w:b/>
                <w:color w:val="auto"/>
                <w:highlight w:val="none"/>
                <w:lang w:val="en-US" w:eastAsia="zh-CN"/>
              </w:rPr>
              <w:t xml:space="preserve"> 基于适当的教育、培训或经历，确保这些人员是能胜任的</w:t>
            </w:r>
            <w:r>
              <w:rPr>
                <w:rFonts w:hint="eastAsia" w:ascii="方正仿宋简体" w:eastAsia="方正仿宋简体"/>
                <w:b/>
                <w:color w:val="auto"/>
                <w:highlight w:val="none"/>
              </w:rPr>
              <w:t>”的要求；</w:t>
            </w:r>
          </w:p>
        </w:tc>
        <w:tc>
          <w:tcPr>
            <w:tcW w:w="1024" w:type="dxa"/>
            <w:vAlign w:val="top"/>
          </w:tcPr>
          <w:p>
            <w:pPr>
              <w:spacing w:line="360" w:lineRule="auto"/>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565" w:type="dxa"/>
            <w:vAlign w:val="top"/>
          </w:tcPr>
          <w:p>
            <w:pPr>
              <w:spacing w:line="360" w:lineRule="auto"/>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w:t>
            </w:r>
            <w:r>
              <w:rPr>
                <w:rFonts w:hint="eastAsia"/>
                <w:color w:val="auto"/>
                <w:kern w:val="2"/>
                <w:sz w:val="21"/>
                <w:szCs w:val="21"/>
                <w:highlight w:val="none"/>
              </w:rPr>
              <w:t>环境管理</w:t>
            </w:r>
            <w:r>
              <w:rPr>
                <w:rFonts w:hint="eastAsia"/>
                <w:color w:val="auto"/>
                <w:kern w:val="2"/>
                <w:sz w:val="21"/>
                <w:szCs w:val="21"/>
                <w:highlight w:val="none"/>
                <w:lang w:val="en-US" w:eastAsia="zh-CN"/>
              </w:rPr>
              <w:t>体系</w:t>
            </w:r>
            <w:r>
              <w:rPr>
                <w:rFonts w:hint="eastAsia" w:ascii="宋体" w:hAnsi="宋体"/>
                <w:color w:val="auto"/>
                <w:sz w:val="21"/>
                <w:szCs w:val="21"/>
                <w:highlight w:val="none"/>
              </w:rPr>
              <w:t>的有效性的积极贡献，以及其不符合</w:t>
            </w:r>
            <w:r>
              <w:rPr>
                <w:rFonts w:hint="eastAsia"/>
                <w:color w:val="auto"/>
                <w:kern w:val="2"/>
                <w:sz w:val="21"/>
                <w:szCs w:val="21"/>
                <w:highlight w:val="none"/>
              </w:rPr>
              <w:t>环境管理</w:t>
            </w:r>
            <w:r>
              <w:rPr>
                <w:rFonts w:hint="eastAsia" w:ascii="宋体" w:hAnsi="宋体"/>
                <w:color w:val="auto"/>
                <w:sz w:val="21"/>
                <w:szCs w:val="21"/>
                <w:highlight w:val="none"/>
                <w:lang w:val="en-US" w:eastAsia="zh-CN"/>
              </w:rPr>
              <w:t>体系标准</w:t>
            </w:r>
            <w:r>
              <w:rPr>
                <w:rFonts w:hint="eastAsia" w:ascii="宋体" w:hAnsi="宋体"/>
                <w:color w:val="auto"/>
                <w:sz w:val="21"/>
                <w:szCs w:val="21"/>
                <w:highlight w:val="none"/>
              </w:rPr>
              <w:t>要求的后果。</w:t>
            </w:r>
          </w:p>
          <w:p>
            <w:pPr>
              <w:spacing w:line="360" w:lineRule="auto"/>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024" w:type="dxa"/>
          </w:tcPr>
          <w:p>
            <w:pPr>
              <w:spacing w:line="360" w:lineRule="auto"/>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沟通 </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7.4 </w:t>
            </w:r>
          </w:p>
        </w:tc>
        <w:tc>
          <w:tcPr>
            <w:tcW w:w="10565" w:type="dxa"/>
            <w:vAlign w:val="top"/>
          </w:tcPr>
          <w:p>
            <w:pPr>
              <w:pStyle w:val="7"/>
              <w:spacing w:line="400" w:lineRule="exact"/>
              <w:rPr>
                <w:color w:val="auto"/>
                <w:sz w:val="21"/>
                <w:szCs w:val="21"/>
                <w:highlight w:val="none"/>
              </w:rPr>
            </w:pPr>
            <w:r>
              <w:rPr>
                <w:rFonts w:hint="eastAsia"/>
                <w:color w:val="auto"/>
                <w:kern w:val="2"/>
                <w:sz w:val="21"/>
                <w:szCs w:val="21"/>
                <w:highlight w:val="none"/>
              </w:rPr>
              <w:t>--</w:t>
            </w:r>
            <w:r>
              <w:rPr>
                <w:rFonts w:hint="eastAsia" w:ascii="Times New Roman" w:hAnsi="Times New Roman" w:cs="Arial"/>
                <w:color w:val="auto"/>
                <w:kern w:val="2"/>
                <w:sz w:val="21"/>
                <w:szCs w:val="21"/>
                <w:highlight w:val="none"/>
              </w:rPr>
              <w:t>《</w:t>
            </w:r>
            <w:r>
              <w:rPr>
                <w:rFonts w:hint="eastAsia" w:cs="Arial"/>
                <w:color w:val="auto"/>
                <w:kern w:val="2"/>
                <w:sz w:val="21"/>
                <w:szCs w:val="21"/>
                <w:highlight w:val="none"/>
                <w:lang w:eastAsia="zh-CN"/>
              </w:rPr>
              <w:t>协商、沟通和信息交流控制程序</w:t>
            </w:r>
            <w:r>
              <w:rPr>
                <w:rFonts w:hint="eastAsia" w:ascii="Times New Roman" w:hAnsi="Times New Roman" w:cs="Arial"/>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7"/>
              <w:spacing w:line="400" w:lineRule="exact"/>
              <w:rPr>
                <w:rFonts w:hint="eastAsia"/>
                <w:color w:val="auto"/>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highlight w:val="none"/>
              </w:rPr>
            </w:pPr>
            <w:r>
              <w:rPr>
                <w:rFonts w:hint="eastAsia"/>
                <w:color w:val="auto"/>
                <w:kern w:val="2"/>
                <w:sz w:val="21"/>
                <w:szCs w:val="21"/>
                <w:highlight w:val="none"/>
              </w:rPr>
              <w:t xml:space="preserve">  部门员工参与协商，员工提出参与环境知识的学习和培训，在日常服务例会中有通报公司近期环境工作及加强环境管理工作，员工做好自身和其他保护环境方面的工作要求。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查见：公司内部会议记录表，沟通信息包括：</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1）告知员工：环境管理者代表是</w:t>
            </w:r>
            <w:r>
              <w:rPr>
                <w:rFonts w:hint="eastAsia" w:ascii="宋体" w:hAnsi="宋体" w:cs="Arial"/>
                <w:color w:val="auto"/>
                <w:sz w:val="21"/>
                <w:szCs w:val="21"/>
                <w:highlight w:val="none"/>
                <w:lang w:val="en-US" w:eastAsia="zh-CN"/>
              </w:rPr>
              <w:t>魏干传</w:t>
            </w:r>
            <w:r>
              <w:rPr>
                <w:rFonts w:hint="eastAsia" w:ascii="宋体" w:hAnsi="宋体" w:cs="Arial"/>
                <w:color w:val="auto"/>
                <w:sz w:val="21"/>
                <w:szCs w:val="21"/>
                <w:highlight w:val="none"/>
              </w:rPr>
              <w:t>。</w:t>
            </w:r>
          </w:p>
          <w:p>
            <w:pPr>
              <w:widowControl/>
              <w:spacing w:line="400" w:lineRule="atLeast"/>
              <w:ind w:firstLine="315" w:firstLineChars="150"/>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2）告知员工：环境管理体系建立的依据、标准和意义</w:t>
            </w:r>
            <w:r>
              <w:rPr>
                <w:rFonts w:hint="eastAsia" w:ascii="宋体" w:hAnsi="宋体" w:cs="Arial"/>
                <w:color w:val="auto"/>
                <w:sz w:val="21"/>
                <w:szCs w:val="21"/>
                <w:highlight w:val="none"/>
                <w:lang w:eastAsia="zh-CN"/>
              </w:rPr>
              <w:t>。</w:t>
            </w:r>
          </w:p>
          <w:p>
            <w:pPr>
              <w:widowControl/>
              <w:spacing w:line="400" w:lineRule="atLeast"/>
              <w:ind w:firstLine="315" w:firstLineChars="150"/>
              <w:rPr>
                <w:rFonts w:hint="eastAsia" w:ascii="宋体" w:hAnsi="宋体" w:cs="Arial"/>
                <w:color w:val="auto"/>
                <w:sz w:val="21"/>
                <w:szCs w:val="21"/>
                <w:highlight w:val="none"/>
              </w:rPr>
            </w:pPr>
            <w:r>
              <w:rPr>
                <w:rFonts w:hint="eastAsia" w:ascii="宋体" w:hAnsi="宋体" w:cs="Arial"/>
                <w:color w:val="auto"/>
                <w:sz w:val="21"/>
                <w:szCs w:val="21"/>
                <w:highlight w:val="none"/>
              </w:rPr>
              <w:t>3）组织员工学习：与环境管理有关的法律法规，包括《中华人民共和国环境保护法》、《中华人民共和国节约能源法》</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城市市容和环境卫生管理条例</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highlight w:val="none"/>
                <w:lang w:val="en-US" w:eastAsia="zh-CN" w:bidi="ar-SA"/>
              </w:rPr>
            </w:pPr>
            <w:r>
              <w:rPr>
                <w:rFonts w:hint="eastAsia" w:ascii="宋体" w:hAnsi="宋体" w:cs="Arial"/>
                <w:color w:val="auto"/>
                <w:sz w:val="21"/>
                <w:szCs w:val="21"/>
                <w:highlight w:val="none"/>
              </w:rPr>
              <w:t>4）将公司环境管理要求和意义作为新员工岗前培训内容。</w:t>
            </w:r>
          </w:p>
        </w:tc>
        <w:tc>
          <w:tcPr>
            <w:tcW w:w="102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400" w:lineRule="atLeast"/>
              <w:rPr>
                <w:rFonts w:hint="default" w:ascii="宋体" w:hAnsi="宋体" w:eastAsia="宋体" w:cs="宋体"/>
                <w:color w:val="auto"/>
                <w:kern w:val="2"/>
                <w:sz w:val="21"/>
                <w:szCs w:val="21"/>
                <w:highlight w:val="none"/>
                <w:lang w:val="en-US" w:eastAsia="zh-CN" w:bidi="ar"/>
              </w:rPr>
            </w:pPr>
            <w:r>
              <w:rPr>
                <w:rFonts w:hint="eastAsia" w:ascii="宋体" w:hAnsi="宋体" w:cs="新宋体"/>
                <w:color w:val="auto"/>
                <w:sz w:val="21"/>
                <w:szCs w:val="21"/>
                <w:highlight w:val="none"/>
              </w:rPr>
              <w:t>文件</w:t>
            </w:r>
          </w:p>
        </w:tc>
        <w:tc>
          <w:tcPr>
            <w:tcW w:w="960" w:type="dxa"/>
            <w:vAlign w:val="top"/>
          </w:tcPr>
          <w:p>
            <w:pPr>
              <w:rPr>
                <w:rFonts w:hint="default" w:ascii="宋体" w:hAnsi="宋体" w:eastAsia="宋体" w:cs="宋体"/>
                <w:color w:val="auto"/>
                <w:kern w:val="2"/>
                <w:sz w:val="21"/>
                <w:szCs w:val="21"/>
                <w:highlight w:val="none"/>
                <w:lang w:val="en-US" w:eastAsia="zh-CN" w:bidi="ar"/>
              </w:rPr>
            </w:pPr>
            <w:r>
              <w:rPr>
                <w:rFonts w:hint="eastAsia" w:ascii="宋体" w:hAnsi="宋体" w:cs="新宋体"/>
                <w:color w:val="auto"/>
                <w:sz w:val="21"/>
                <w:szCs w:val="21"/>
                <w:highlight w:val="none"/>
              </w:rPr>
              <w:t xml:space="preserve">E7.5 </w:t>
            </w:r>
          </w:p>
        </w:tc>
        <w:tc>
          <w:tcPr>
            <w:tcW w:w="10565" w:type="dxa"/>
            <w:vAlign w:val="top"/>
          </w:tcPr>
          <w:p>
            <w:pPr>
              <w:spacing w:line="400" w:lineRule="exac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文件控制程序</w:t>
            </w:r>
            <w:r>
              <w:rPr>
                <w:rFonts w:hint="eastAsia" w:ascii="宋体" w:hAnsi="宋体"/>
                <w:color w:val="auto"/>
                <w:sz w:val="21"/>
                <w:szCs w:val="21"/>
                <w:highlight w:val="none"/>
              </w:rPr>
              <w:t>》，体系文件生效实施日期为20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日，文件规定了环境管理文件的编制、审批、评审、编号、回收、发放、更改、换版、作废等的管理和控制。根据一阶段问题清单进行了对《管理手册》和</w:t>
            </w:r>
            <w:r>
              <w:rPr>
                <w:rFonts w:hint="eastAsia" w:ascii="宋体" w:hAnsi="宋体"/>
                <w:color w:val="auto"/>
                <w:sz w:val="21"/>
                <w:szCs w:val="21"/>
                <w:highlight w:val="none"/>
                <w:lang w:val="en-US" w:eastAsia="zh-CN"/>
              </w:rPr>
              <w:t>管理规范</w:t>
            </w:r>
            <w:r>
              <w:rPr>
                <w:rFonts w:hint="eastAsia" w:ascii="宋体" w:hAnsi="宋体"/>
                <w:color w:val="auto"/>
                <w:sz w:val="21"/>
                <w:szCs w:val="21"/>
                <w:highlight w:val="none"/>
              </w:rPr>
              <w:t>的修改和完善。</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查《体系受控文件清单》，包括管理手册、程序文件，另有《公司管理制度汇编》、《部门职责》等作业文件。</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查：《文件发放、回收登记表》，抽查文件发放情况，有收文、发文的确认签字，符合文件发放规定。</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查《适用的法律法规及其他要求清单》，内容有国家和地方与环境管理体系相关适用法律法规。</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文件资料基本满足岗位工作需要，并为现行有效版本。</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查文件的评审及更新：管理评审时对文件的适宜性及可操作性进行评审：适宜、可操作。</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查文件的作废：</w:t>
            </w:r>
            <w:r>
              <w:rPr>
                <w:rFonts w:hint="eastAsia" w:ascii="宋体" w:hAnsi="宋体"/>
                <w:color w:val="auto"/>
                <w:sz w:val="21"/>
                <w:szCs w:val="21"/>
                <w:highlight w:val="none"/>
                <w:lang w:val="en-US" w:eastAsia="zh-CN"/>
              </w:rPr>
              <w:t>暂无</w:t>
            </w:r>
            <w:r>
              <w:rPr>
                <w:rFonts w:hint="eastAsia" w:ascii="宋体" w:hAnsi="宋体"/>
                <w:color w:val="auto"/>
                <w:sz w:val="21"/>
                <w:szCs w:val="21"/>
                <w:highlight w:val="none"/>
              </w:rPr>
              <w:t>。</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电子文档需要责任部门留下发放记录，并告知换页处置要求。</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文件按需求和公司管理规定发放至有关部门和人员，查有发放记录，符合。</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----有《</w:t>
            </w:r>
            <w:r>
              <w:rPr>
                <w:rFonts w:hint="eastAsia" w:ascii="宋体" w:hAnsi="宋体" w:cs="宋体"/>
                <w:color w:val="auto"/>
                <w:kern w:val="0"/>
                <w:szCs w:val="21"/>
                <w:highlight w:val="none"/>
              </w:rPr>
              <w:t>记录控制程序</w:t>
            </w:r>
            <w:r>
              <w:rPr>
                <w:rFonts w:hint="eastAsia" w:ascii="宋体" w:hAnsi="宋体"/>
                <w:color w:val="auto"/>
                <w:sz w:val="21"/>
                <w:szCs w:val="21"/>
                <w:highlight w:val="none"/>
              </w:rPr>
              <w:t>》，对记录表单的设计、编号、填写、贮存、保管、保护、检索、保存期限、到期处置等方面规定了要求并按此程序控制。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highlight w:val="none"/>
                <w:lang w:val="en-US" w:eastAsia="zh-CN" w:bidi="ar"/>
              </w:rPr>
            </w:pPr>
            <w:r>
              <w:rPr>
                <w:rFonts w:hint="eastAsia" w:ascii="宋体" w:hAnsi="宋体"/>
                <w:color w:val="auto"/>
                <w:sz w:val="21"/>
                <w:szCs w:val="21"/>
                <w:highlight w:val="none"/>
              </w:rPr>
              <w:t>提供《记录清单》，有</w:t>
            </w:r>
            <w:r>
              <w:rPr>
                <w:rFonts w:hint="eastAsia" w:ascii="宋体" w:hAnsi="宋体"/>
                <w:color w:val="auto"/>
                <w:sz w:val="21"/>
                <w:szCs w:val="21"/>
                <w:highlight w:val="none"/>
                <w:lang w:val="en-US" w:eastAsia="zh-CN"/>
              </w:rPr>
              <w:t>51</w:t>
            </w:r>
            <w:r>
              <w:rPr>
                <w:rFonts w:hint="eastAsia" w:ascii="宋体" w:hAnsi="宋体"/>
                <w:color w:val="auto"/>
                <w:sz w:val="21"/>
                <w:szCs w:val="21"/>
                <w:highlight w:val="none"/>
              </w:rPr>
              <w:t>份记录文件清单，规定了记录的名称、</w:t>
            </w:r>
            <w:r>
              <w:rPr>
                <w:rFonts w:hint="eastAsia" w:ascii="宋体" w:hAnsi="宋体"/>
                <w:color w:val="auto"/>
                <w:sz w:val="21"/>
                <w:szCs w:val="21"/>
                <w:highlight w:val="none"/>
                <w:lang w:val="en-US" w:eastAsia="zh-CN"/>
              </w:rPr>
              <w:t>使用</w:t>
            </w:r>
            <w:r>
              <w:rPr>
                <w:rFonts w:hint="eastAsia" w:ascii="宋体" w:hAnsi="宋体"/>
                <w:color w:val="auto"/>
                <w:sz w:val="21"/>
                <w:szCs w:val="21"/>
                <w:highlight w:val="none"/>
              </w:rPr>
              <w:t>部门、保存期限等内容。所规定的记录均涵盖，保存期限规定的合理。</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highlight w:val="none"/>
              </w:rPr>
            </w:pPr>
            <w:r>
              <w:rPr>
                <w:rFonts w:hint="eastAsia" w:ascii="宋体" w:hAnsi="宋体"/>
                <w:color w:val="auto"/>
                <w:sz w:val="21"/>
                <w:szCs w:val="21"/>
                <w:highlight w:val="none"/>
              </w:rPr>
              <w:t>运行的策划与控制</w:t>
            </w:r>
          </w:p>
          <w:p>
            <w:pPr>
              <w:adjustRightInd w:val="0"/>
              <w:snapToGrid w:val="0"/>
              <w:jc w:val="left"/>
              <w:rPr>
                <w:color w:val="auto"/>
                <w:highlight w:val="none"/>
              </w:rPr>
            </w:pPr>
          </w:p>
        </w:tc>
        <w:tc>
          <w:tcPr>
            <w:tcW w:w="960" w:type="dxa"/>
            <w:vAlign w:val="top"/>
          </w:tcPr>
          <w:p>
            <w:pPr>
              <w:adjustRightInd w:val="0"/>
              <w:snapToGrid w:val="0"/>
              <w:rPr>
                <w:color w:val="auto"/>
                <w:highlight w:val="none"/>
              </w:rPr>
            </w:pPr>
            <w:r>
              <w:rPr>
                <w:rFonts w:hint="eastAsia" w:ascii="宋体" w:hAnsi="宋体"/>
                <w:color w:val="auto"/>
                <w:sz w:val="21"/>
                <w:szCs w:val="21"/>
                <w:highlight w:val="none"/>
              </w:rPr>
              <w:t>8.1</w:t>
            </w:r>
          </w:p>
        </w:tc>
        <w:tc>
          <w:tcPr>
            <w:tcW w:w="10565" w:type="dxa"/>
            <w:vAlign w:val="top"/>
          </w:tcPr>
          <w:p>
            <w:pPr>
              <w:rPr>
                <w:rFonts w:hint="eastAsia"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w:t>
            </w:r>
            <w:r>
              <w:rPr>
                <w:rFonts w:hint="eastAsia" w:ascii="Arial" w:hAnsi="Arial" w:cs="Arial"/>
                <w:color w:val="auto"/>
                <w:sz w:val="21"/>
                <w:szCs w:val="21"/>
                <w:highlight w:val="none"/>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highlight w:val="none"/>
              </w:rPr>
            </w:pPr>
            <w:r>
              <w:rPr>
                <w:rFonts w:hint="eastAsia"/>
                <w:color w:val="auto"/>
                <w:sz w:val="21"/>
                <w:szCs w:val="21"/>
                <w:highlight w:val="none"/>
              </w:rPr>
              <w:t xml:space="preserve"> ◆</w:t>
            </w:r>
            <w:r>
              <w:rPr>
                <w:rFonts w:hint="eastAsia" w:ascii="Arial" w:hAnsi="Arial" w:cs="Arial"/>
                <w:color w:val="auto"/>
                <w:sz w:val="21"/>
                <w:szCs w:val="21"/>
                <w:highlight w:val="none"/>
              </w:rPr>
              <w:t>根据过程的运行准则，组织实施资源能源的消耗控制、火灾预防等过程的控制，避免和减少了环境的损失。</w:t>
            </w:r>
          </w:p>
          <w:p>
            <w:pPr>
              <w:rPr>
                <w:rFonts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highlight w:val="none"/>
              </w:rPr>
              <w:t xml:space="preserve"> </w:t>
            </w:r>
            <w:r>
              <w:rPr>
                <w:rFonts w:hint="eastAsia"/>
                <w:color w:val="auto"/>
                <w:sz w:val="21"/>
                <w:szCs w:val="21"/>
                <w:highlight w:val="none"/>
              </w:rPr>
              <w:t>◆</w:t>
            </w:r>
            <w:r>
              <w:rPr>
                <w:rFonts w:hint="eastAsia" w:ascii="Arial" w:hAnsi="Arial" w:cs="Arial"/>
                <w:color w:val="auto"/>
                <w:sz w:val="21"/>
                <w:szCs w:val="21"/>
                <w:highlight w:val="none"/>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4"/>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highlight w:val="none"/>
                <w:u w:val="none"/>
                <w:lang w:val="en-US" w:eastAsia="zh-CN" w:bidi="ar"/>
              </w:rPr>
              <w:t>固体废弃物管理规定</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综合部</w:t>
            </w:r>
            <w:r>
              <w:rPr>
                <w:rFonts w:hint="eastAsia" w:ascii="宋体" w:hAnsi="宋体"/>
                <w:color w:val="auto"/>
                <w:szCs w:val="21"/>
                <w:highlight w:val="none"/>
              </w:rPr>
              <w:t>负责废弃物的分类、收集、保管、</w:t>
            </w:r>
            <w:r>
              <w:rPr>
                <w:rFonts w:hint="eastAsia" w:ascii="宋体" w:hAnsi="宋体"/>
                <w:color w:val="auto"/>
                <w:szCs w:val="21"/>
                <w:highlight w:val="none"/>
                <w:lang w:val="en-US" w:eastAsia="zh-CN"/>
              </w:rPr>
              <w:t>由园区统一处理</w:t>
            </w:r>
            <w:r>
              <w:rPr>
                <w:rFonts w:hint="eastAsia" w:ascii="宋体" w:hAnsi="宋体"/>
                <w:color w:val="auto"/>
                <w:szCs w:val="21"/>
                <w:highlight w:val="none"/>
              </w:rPr>
              <w:t>。</w:t>
            </w:r>
            <w:r>
              <w:rPr>
                <w:rFonts w:hint="eastAsia" w:ascii="宋体" w:hAnsi="宋体"/>
                <w:color w:val="auto"/>
                <w:szCs w:val="21"/>
                <w:highlight w:val="none"/>
                <w:lang w:val="en-US" w:eastAsia="zh-CN"/>
              </w:rPr>
              <w:t>办公区域</w:t>
            </w:r>
            <w:r>
              <w:rPr>
                <w:rFonts w:hint="eastAsia" w:ascii="宋体" w:hAnsi="宋体"/>
                <w:color w:val="auto"/>
                <w:szCs w:val="21"/>
                <w:highlight w:val="none"/>
              </w:rPr>
              <w:t>分设：可回收一般废弃物、不可回收一般废弃物收集容器，员工能按要求分类放置固体废弃物。</w:t>
            </w:r>
          </w:p>
          <w:p>
            <w:pPr>
              <w:pStyle w:val="14"/>
              <w:ind w:firstLine="0" w:firstLineChars="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资源</w:t>
            </w:r>
            <w:r>
              <w:rPr>
                <w:rFonts w:hint="eastAsia" w:ascii="宋体" w:hAnsi="宋体"/>
                <w:color w:val="auto"/>
                <w:szCs w:val="21"/>
                <w:highlight w:val="none"/>
              </w:rPr>
              <w:t>、</w:t>
            </w:r>
            <w:r>
              <w:rPr>
                <w:rFonts w:ascii="宋体" w:hAnsi="宋体"/>
                <w:color w:val="auto"/>
                <w:szCs w:val="21"/>
                <w:highlight w:val="none"/>
              </w:rPr>
              <w:t>能源消耗管控</w:t>
            </w:r>
            <w:r>
              <w:rPr>
                <w:rFonts w:hint="eastAsia" w:ascii="宋体" w:hAnsi="宋体"/>
                <w:color w:val="auto"/>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 xml:space="preserve">  负责人讲，公司资源、能源节约有相关规定措施，如：加强宣传、主管检查督导、专人定期统计跟进。</w:t>
            </w:r>
            <w:r>
              <w:rPr>
                <w:rFonts w:hint="eastAsia" w:ascii="宋体" w:hAnsi="宋体"/>
                <w:color w:val="auto"/>
                <w:sz w:val="21"/>
                <w:szCs w:val="21"/>
                <w:highlight w:val="none"/>
                <w:lang w:val="en-US" w:eastAsia="zh-CN"/>
              </w:rPr>
              <w:t>有</w:t>
            </w:r>
            <w:r>
              <w:rPr>
                <w:rFonts w:hint="eastAsia" w:ascii="宋体" w:hAnsi="宋体"/>
                <w:color w:val="auto"/>
                <w:sz w:val="21"/>
                <w:szCs w:val="21"/>
                <w:highlight w:val="none"/>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highlight w:val="none"/>
              </w:rPr>
            </w:pPr>
            <w:r>
              <w:rPr>
                <w:rFonts w:hint="eastAsia" w:ascii="宋体" w:hAnsi="宋体"/>
                <w:color w:val="auto"/>
                <w:sz w:val="21"/>
                <w:szCs w:val="21"/>
                <w:highlight w:val="none"/>
              </w:rPr>
              <w:t>3）火灾预防</w:t>
            </w:r>
          </w:p>
          <w:p>
            <w:pPr>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制定并实施</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应急准备与响应控制规范</w:t>
            </w:r>
            <w:r>
              <w:rPr>
                <w:rFonts w:hint="eastAsia" w:ascii="宋体" w:hAnsi="宋体"/>
                <w:bCs/>
                <w:color w:val="auto"/>
                <w:sz w:val="21"/>
                <w:szCs w:val="21"/>
                <w:highlight w:val="none"/>
              </w:rPr>
              <w:t>》</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b/>
                <w:color w:val="auto"/>
                <w:sz w:val="21"/>
                <w:szCs w:val="21"/>
                <w:highlight w:val="none"/>
              </w:rPr>
              <w:t xml:space="preserve">  </w:t>
            </w:r>
            <w:r>
              <w:rPr>
                <w:rFonts w:hint="eastAsia" w:ascii="宋体" w:hAnsi="宋体"/>
                <w:color w:val="auto"/>
                <w:sz w:val="21"/>
                <w:szCs w:val="21"/>
                <w:highlight w:val="none"/>
                <w:lang w:val="en-US" w:eastAsia="zh-CN"/>
              </w:rPr>
              <w:t>查见行政办公区域</w:t>
            </w:r>
            <w:r>
              <w:rPr>
                <w:rFonts w:hint="eastAsia" w:ascii="宋体" w:hAnsi="宋体"/>
                <w:color w:val="auto"/>
                <w:sz w:val="21"/>
                <w:szCs w:val="21"/>
                <w:highlight w:val="none"/>
              </w:rPr>
              <w:t>，</w:t>
            </w:r>
            <w:r>
              <w:rPr>
                <w:rFonts w:ascii="宋体" w:hAnsi="宋体"/>
                <w:color w:val="auto"/>
                <w:sz w:val="21"/>
                <w:szCs w:val="21"/>
                <w:highlight w:val="none"/>
              </w:rPr>
              <w:t>按要求配备</w:t>
            </w:r>
            <w:r>
              <w:rPr>
                <w:rFonts w:ascii="宋体" w:hAnsi="宋体"/>
                <w:bCs/>
                <w:color w:val="auto"/>
                <w:sz w:val="21"/>
                <w:szCs w:val="21"/>
                <w:highlight w:val="none"/>
              </w:rPr>
              <w:t>灭火器</w:t>
            </w:r>
            <w:r>
              <w:rPr>
                <w:rFonts w:ascii="宋体" w:hAnsi="宋体"/>
                <w:color w:val="auto"/>
                <w:sz w:val="21"/>
                <w:szCs w:val="21"/>
                <w:highlight w:val="none"/>
              </w:rPr>
              <w:t>并每月点检记录</w:t>
            </w:r>
            <w:r>
              <w:rPr>
                <w:rFonts w:hint="eastAsia" w:ascii="宋体" w:hAnsi="宋体"/>
                <w:color w:val="auto"/>
                <w:sz w:val="21"/>
                <w:szCs w:val="21"/>
                <w:highlight w:val="none"/>
              </w:rPr>
              <w:t>；</w:t>
            </w:r>
            <w:r>
              <w:rPr>
                <w:rFonts w:ascii="宋体" w:hAnsi="宋体"/>
                <w:color w:val="auto"/>
                <w:sz w:val="21"/>
                <w:szCs w:val="21"/>
                <w:highlight w:val="none"/>
              </w:rPr>
              <w:t>对可能产生火灾隐患的区域予以重点排查</w:t>
            </w:r>
            <w:r>
              <w:rPr>
                <w:rFonts w:hint="eastAsia" w:ascii="宋体" w:hAnsi="宋体"/>
                <w:color w:val="auto"/>
                <w:sz w:val="21"/>
                <w:szCs w:val="21"/>
                <w:highlight w:val="none"/>
              </w:rPr>
              <w:t>，若</w:t>
            </w:r>
            <w:r>
              <w:rPr>
                <w:rFonts w:ascii="宋体" w:hAnsi="宋体"/>
                <w:color w:val="auto"/>
                <w:sz w:val="21"/>
                <w:szCs w:val="21"/>
                <w:highlight w:val="none"/>
              </w:rPr>
              <w:t>发现问题及时上报</w:t>
            </w:r>
            <w:r>
              <w:rPr>
                <w:rFonts w:hint="eastAsia" w:ascii="宋体" w:hAnsi="宋体"/>
                <w:color w:val="auto"/>
                <w:sz w:val="21"/>
                <w:szCs w:val="21"/>
                <w:highlight w:val="none"/>
              </w:rPr>
              <w:t>、</w:t>
            </w:r>
            <w:r>
              <w:rPr>
                <w:rFonts w:ascii="宋体" w:hAnsi="宋体"/>
                <w:color w:val="auto"/>
                <w:sz w:val="21"/>
                <w:szCs w:val="21"/>
                <w:highlight w:val="none"/>
              </w:rPr>
              <w:t>整改</w:t>
            </w:r>
            <w:r>
              <w:rPr>
                <w:rFonts w:hint="eastAsia" w:ascii="宋体" w:hAnsi="宋体"/>
                <w:color w:val="auto"/>
                <w:sz w:val="21"/>
                <w:szCs w:val="21"/>
                <w:highlight w:val="none"/>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highlight w:val="none"/>
                <w:lang w:val="en-US" w:eastAsia="zh-CN"/>
              </w:rPr>
            </w:pPr>
            <w:r>
              <w:rPr>
                <w:rFonts w:hint="eastAsia" w:ascii="宋体" w:hAnsi="宋体" w:cs="宋体"/>
                <w:color w:val="auto"/>
                <w:szCs w:val="21"/>
                <w:highlight w:val="none"/>
                <w:lang w:val="en-US" w:eastAsia="zh-CN"/>
              </w:rPr>
              <w:t>查看：</w:t>
            </w:r>
            <w:r>
              <w:rPr>
                <w:rFonts w:hint="eastAsia"/>
                <w:color w:val="auto"/>
                <w:highlight w:val="none"/>
              </w:rPr>
              <w:t>办公环节的主要固废为：废纸、废办公用品、以及生活垃圾等。现采取集中收集，交由</w:t>
            </w:r>
            <w:r>
              <w:rPr>
                <w:rFonts w:hint="eastAsia"/>
                <w:color w:val="auto"/>
                <w:highlight w:val="none"/>
                <w:lang w:val="en-US" w:eastAsia="zh-CN"/>
              </w:rPr>
              <w:t>市政环卫统一</w:t>
            </w:r>
            <w:r>
              <w:rPr>
                <w:rFonts w:hint="eastAsia"/>
                <w:color w:val="auto"/>
                <w:highlight w:val="none"/>
              </w:rPr>
              <w:t>处理。在办公公共区域垃圾桶标识明确</w:t>
            </w:r>
            <w:r>
              <w:rPr>
                <w:rFonts w:hint="eastAsia" w:ascii="宋体" w:hAnsi="宋体" w:cs="宋体"/>
                <w:color w:val="auto"/>
                <w:szCs w:val="21"/>
                <w:highlight w:val="none"/>
                <w:lang w:val="en-US" w:eastAsia="zh-CN"/>
              </w:rPr>
              <w:t>。</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应急准备和响应</w:t>
            </w:r>
          </w:p>
        </w:tc>
        <w:tc>
          <w:tcPr>
            <w:tcW w:w="960" w:type="dxa"/>
            <w:vAlign w:val="top"/>
          </w:tcPr>
          <w:p>
            <w:pPr>
              <w:rPr>
                <w:color w:val="auto"/>
                <w:highlight w:val="none"/>
              </w:rPr>
            </w:pPr>
            <w:r>
              <w:rPr>
                <w:rFonts w:hint="eastAsia" w:ascii="宋体" w:hAnsi="宋体" w:cs="新宋体"/>
                <w:color w:val="auto"/>
                <w:sz w:val="21"/>
                <w:szCs w:val="21"/>
                <w:highlight w:val="none"/>
              </w:rPr>
              <w:t>8.2</w:t>
            </w:r>
          </w:p>
        </w:tc>
        <w:tc>
          <w:tcPr>
            <w:tcW w:w="10565" w:type="dxa"/>
            <w:vAlign w:val="top"/>
          </w:tcPr>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w:t>
            </w:r>
            <w:r>
              <w:rPr>
                <w:rFonts w:hint="eastAsia" w:ascii="宋体" w:hAnsi="宋体" w:eastAsia="宋体" w:cs="宋体"/>
                <w:color w:val="auto"/>
                <w:sz w:val="21"/>
                <w:szCs w:val="21"/>
                <w:highlight w:val="none"/>
                <w:lang w:eastAsia="zh-CN" w:bidi="ar"/>
              </w:rPr>
              <w:t>应急准备与响应控制规范</w:t>
            </w:r>
            <w:r>
              <w:rPr>
                <w:rFonts w:hint="eastAsia" w:ascii="宋体" w:hAnsi="宋体" w:eastAsia="宋体" w:cs="宋体"/>
                <w:color w:val="auto"/>
                <w:sz w:val="21"/>
                <w:szCs w:val="21"/>
                <w:highlight w:val="none"/>
                <w:lang w:bidi="ar"/>
              </w:rPr>
              <w:t>》、《消防火灾应急预案》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固体废弃物管理规定</w:t>
            </w:r>
            <w:r>
              <w:rPr>
                <w:rFonts w:hint="eastAsia" w:ascii="宋体" w:hAnsi="宋体" w:eastAsia="宋体" w:cs="宋体"/>
                <w:color w:val="auto"/>
                <w:sz w:val="21"/>
                <w:szCs w:val="21"/>
                <w:highlight w:val="none"/>
                <w:lang w:bidi="ar"/>
              </w:rPr>
              <w:t>》等。</w:t>
            </w:r>
          </w:p>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查见：消防演练实况记录：</w:t>
            </w:r>
            <w:r>
              <w:rPr>
                <w:rFonts w:hint="eastAsia" w:ascii="宋体" w:hAnsi="宋体" w:eastAsia="宋体" w:cs="宋体"/>
                <w:color w:val="auto"/>
                <w:kern w:val="0"/>
                <w:sz w:val="21"/>
                <w:szCs w:val="21"/>
                <w:highlight w:val="none"/>
                <w:lang w:eastAsia="zh-CN"/>
              </w:rPr>
              <w:t>2022年05月6日</w:t>
            </w:r>
            <w:r>
              <w:rPr>
                <w:rFonts w:hint="eastAsia" w:ascii="宋体" w:hAnsi="宋体" w:eastAsia="宋体" w:cs="宋体"/>
                <w:color w:val="auto"/>
                <w:sz w:val="21"/>
                <w:szCs w:val="21"/>
                <w:highlight w:val="none"/>
                <w:lang w:bidi="ar"/>
              </w:rPr>
              <w:t>相关人员参加了由</w:t>
            </w:r>
            <w:r>
              <w:rPr>
                <w:rFonts w:hint="eastAsia" w:ascii="宋体" w:hAnsi="宋体" w:eastAsia="宋体" w:cs="宋体"/>
                <w:color w:val="auto"/>
                <w:sz w:val="21"/>
                <w:szCs w:val="21"/>
                <w:highlight w:val="none"/>
                <w:lang w:eastAsia="zh-CN" w:bidi="ar"/>
              </w:rPr>
              <w:t>综合部</w:t>
            </w:r>
            <w:r>
              <w:rPr>
                <w:rFonts w:hint="eastAsia" w:ascii="宋体" w:hAnsi="宋体" w:eastAsia="宋体" w:cs="宋体"/>
                <w:color w:val="auto"/>
                <w:sz w:val="21"/>
                <w:szCs w:val="21"/>
                <w:highlight w:val="none"/>
                <w:lang w:bidi="ar"/>
              </w:rPr>
              <w:t>组织进行</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火灾发生的应急演习。演习时间为两小时。整个演习过程总体控制有效，但在人员集结时，速度稍慢，比预定时间晚3分钟左右，但整体效果较好，能达到预期目的。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应急准备：</w:t>
            </w:r>
            <w:r>
              <w:rPr>
                <w:rFonts w:hint="eastAsia" w:ascii="宋体" w:hAnsi="宋体" w:eastAsia="宋体" w:cs="宋体"/>
                <w:color w:val="auto"/>
                <w:sz w:val="21"/>
                <w:szCs w:val="21"/>
                <w:highlight w:val="none"/>
                <w:lang w:bidi="ar"/>
              </w:rPr>
              <w:t>在</w:t>
            </w:r>
            <w:r>
              <w:rPr>
                <w:rFonts w:hint="eastAsia" w:ascii="宋体" w:hAnsi="宋体" w:eastAsia="宋体" w:cs="宋体"/>
                <w:color w:val="auto"/>
                <w:sz w:val="21"/>
                <w:szCs w:val="21"/>
                <w:highlight w:val="none"/>
                <w:lang w:val="en-US" w:eastAsia="zh-CN" w:bidi="ar"/>
              </w:rPr>
              <w:t>行政</w:t>
            </w:r>
            <w:r>
              <w:rPr>
                <w:rFonts w:hint="eastAsia" w:ascii="宋体" w:hAnsi="宋体" w:eastAsia="宋体" w:cs="宋体"/>
                <w:color w:val="auto"/>
                <w:sz w:val="21"/>
                <w:szCs w:val="21"/>
                <w:highlight w:val="none"/>
                <w:lang w:bidi="ar"/>
              </w:rPr>
              <w:t>公司办公区域，配置有灭火器</w:t>
            </w:r>
            <w:r>
              <w:rPr>
                <w:rFonts w:hint="eastAsia" w:ascii="宋体" w:hAnsi="宋体" w:eastAsia="宋体" w:cs="宋体"/>
                <w:color w:val="auto"/>
                <w:sz w:val="21"/>
                <w:szCs w:val="21"/>
                <w:highlight w:val="none"/>
              </w:rPr>
              <w:t>，符合</w:t>
            </w:r>
            <w:r>
              <w:rPr>
                <w:rFonts w:hint="eastAsia" w:ascii="宋体" w:hAnsi="宋体" w:eastAsia="宋体" w:cs="宋体"/>
                <w:bCs/>
                <w:color w:val="auto"/>
                <w:sz w:val="21"/>
                <w:szCs w:val="21"/>
                <w:highlight w:val="none"/>
              </w:rPr>
              <w:t>管理</w:t>
            </w:r>
            <w:r>
              <w:rPr>
                <w:rFonts w:hint="eastAsia" w:ascii="宋体" w:hAnsi="宋体" w:eastAsia="宋体" w:cs="宋体"/>
                <w:color w:val="auto"/>
                <w:sz w:val="21"/>
                <w:szCs w:val="21"/>
                <w:highlight w:val="none"/>
              </w:rPr>
              <w:t>要求。</w:t>
            </w:r>
          </w:p>
        </w:tc>
        <w:tc>
          <w:tcPr>
            <w:tcW w:w="102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监视、测量、分析与评估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 </w:t>
            </w:r>
          </w:p>
        </w:tc>
        <w:tc>
          <w:tcPr>
            <w:tcW w:w="10565" w:type="dxa"/>
            <w:vAlign w:val="top"/>
          </w:tcPr>
          <w:p>
            <w:pPr>
              <w:spacing w:line="400" w:lineRule="exact"/>
              <w:rPr>
                <w:rFonts w:hint="eastAsia"/>
                <w:color w:val="auto"/>
                <w:highlight w:val="none"/>
              </w:rPr>
            </w:pPr>
            <w:r>
              <w:rPr>
                <w:rFonts w:hint="eastAsia"/>
                <w:color w:val="auto"/>
                <w:highlight w:val="none"/>
              </w:rPr>
              <w:t>----有《</w:t>
            </w:r>
            <w:r>
              <w:rPr>
                <w:rFonts w:hint="eastAsia"/>
                <w:color w:val="auto"/>
                <w:highlight w:val="none"/>
                <w:lang w:eastAsia="zh-CN"/>
              </w:rPr>
              <w:t>环境职业健康安全监视和测量控制程序</w:t>
            </w:r>
            <w:r>
              <w:rPr>
                <w:rFonts w:hint="eastAsia"/>
                <w:color w:val="auto"/>
                <w:highlight w:val="none"/>
              </w:rPr>
              <w:t>》和管理文件。</w:t>
            </w:r>
          </w:p>
          <w:p>
            <w:pPr>
              <w:spacing w:line="400" w:lineRule="exact"/>
              <w:rPr>
                <w:rFonts w:hint="eastAsia"/>
                <w:color w:val="auto"/>
                <w:highlight w:val="none"/>
              </w:rPr>
            </w:pPr>
            <w:r>
              <w:rPr>
                <w:rFonts w:hint="eastAsia"/>
                <w:color w:val="auto"/>
                <w:highlight w:val="none"/>
              </w:rPr>
              <w:t>◆查公司消防设备运行检查记录表</w:t>
            </w:r>
          </w:p>
          <w:p>
            <w:pPr>
              <w:spacing w:line="400" w:lineRule="exact"/>
              <w:ind w:firstLine="420" w:firstLineChars="200"/>
              <w:rPr>
                <w:rFonts w:hint="eastAsia"/>
                <w:color w:val="auto"/>
                <w:highlight w:val="none"/>
              </w:rPr>
            </w:pPr>
            <w:r>
              <w:rPr>
                <w:rFonts w:hint="eastAsia"/>
                <w:color w:val="auto"/>
                <w:highlight w:val="none"/>
              </w:rPr>
              <w:t>20</w:t>
            </w:r>
            <w:r>
              <w:rPr>
                <w:rFonts w:hint="eastAsia"/>
                <w:color w:val="auto"/>
                <w:highlight w:val="none"/>
                <w:lang w:val="en-US" w:eastAsia="zh-CN"/>
              </w:rPr>
              <w:t>22年1-7月</w:t>
            </w:r>
            <w:r>
              <w:rPr>
                <w:rFonts w:hint="eastAsia"/>
                <w:color w:val="auto"/>
                <w:highlight w:val="none"/>
              </w:rPr>
              <w:t>份，公司对消防器材、用电安全进行了检查，均合格。</w:t>
            </w:r>
          </w:p>
          <w:p>
            <w:pPr>
              <w:spacing w:line="400" w:lineRule="exact"/>
              <w:ind w:firstLine="420" w:firstLineChars="200"/>
              <w:rPr>
                <w:rFonts w:hint="default"/>
                <w:color w:val="auto"/>
                <w:highlight w:val="none"/>
                <w:lang w:val="en-US" w:eastAsia="zh-CN"/>
              </w:rPr>
            </w:pPr>
            <w:r>
              <w:rPr>
                <w:rFonts w:hint="eastAsia"/>
                <w:color w:val="auto"/>
                <w:highlight w:val="none"/>
              </w:rPr>
              <w:t>检查人：</w:t>
            </w:r>
            <w:r>
              <w:rPr>
                <w:rFonts w:hint="eastAsia"/>
                <w:color w:val="auto"/>
                <w:highlight w:val="none"/>
                <w:lang w:val="en-US" w:eastAsia="zh-CN"/>
              </w:rPr>
              <w:t>李维远</w:t>
            </w:r>
          </w:p>
          <w:p>
            <w:pPr>
              <w:rPr>
                <w:rFonts w:hint="eastAsia"/>
                <w:color w:val="auto"/>
                <w:highlight w:val="none"/>
              </w:rPr>
            </w:pPr>
            <w:r>
              <w:rPr>
                <w:rFonts w:hint="eastAsia"/>
                <w:color w:val="auto"/>
                <w:highlight w:val="none"/>
              </w:rPr>
              <w:t>◆ 查《消防安全检查记录》，由</w:t>
            </w:r>
            <w:r>
              <w:rPr>
                <w:rFonts w:hint="eastAsia"/>
                <w:color w:val="auto"/>
                <w:highlight w:val="none"/>
                <w:lang w:val="en-US" w:eastAsia="zh-CN"/>
              </w:rPr>
              <w:t>综合部</w:t>
            </w:r>
            <w:r>
              <w:rPr>
                <w:rFonts w:hint="eastAsia"/>
                <w:color w:val="auto"/>
                <w:highlight w:val="none"/>
              </w:rPr>
              <w:t>组织实施对公司各部门的安全消防管理进行监控检查，每月一次。</w:t>
            </w:r>
          </w:p>
          <w:p>
            <w:pPr>
              <w:rPr>
                <w:rFonts w:hint="eastAsia"/>
                <w:color w:val="auto"/>
                <w:highlight w:val="none"/>
                <w:lang w:eastAsia="zh-CN"/>
              </w:rPr>
            </w:pPr>
            <w:r>
              <w:rPr>
                <w:rFonts w:hint="eastAsia"/>
                <w:color w:val="auto"/>
                <w:highlight w:val="none"/>
              </w:rPr>
              <w:t>◆查《环境体系运行检查记录》，由</w:t>
            </w:r>
            <w:r>
              <w:rPr>
                <w:rFonts w:hint="eastAsia"/>
                <w:color w:val="auto"/>
                <w:highlight w:val="none"/>
                <w:lang w:val="en-US" w:eastAsia="zh-CN"/>
              </w:rPr>
              <w:t>综合部</w:t>
            </w:r>
            <w:r>
              <w:rPr>
                <w:rFonts w:hint="eastAsia"/>
                <w:color w:val="auto"/>
                <w:highlight w:val="none"/>
              </w:rPr>
              <w:t>组织实施对公司各部门的水电、固废、消防、控制方案等进行监控检查，每月一次</w:t>
            </w:r>
            <w:r>
              <w:rPr>
                <w:rFonts w:hint="eastAsia"/>
                <w:color w:val="auto"/>
                <w:highlight w:val="none"/>
                <w:lang w:eastAsia="zh-CN"/>
              </w:rPr>
              <w:t>。</w:t>
            </w:r>
          </w:p>
          <w:p>
            <w:pPr>
              <w:pStyle w:val="2"/>
              <w:rPr>
                <w:rFonts w:hint="default" w:eastAsia="宋体"/>
                <w:color w:val="auto"/>
                <w:highlight w:val="none"/>
                <w:lang w:val="en-US" w:eastAsia="zh-CN"/>
              </w:rPr>
            </w:pPr>
            <w:r>
              <w:rPr>
                <w:rFonts w:hint="eastAsia" w:ascii="Times New Roman" w:hAnsi="Times New Roman" w:eastAsia="宋体" w:cs="Times New Roman"/>
                <w:color w:val="auto"/>
                <w:kern w:val="2"/>
                <w:sz w:val="21"/>
                <w:szCs w:val="20"/>
                <w:highlight w:val="none"/>
                <w:lang w:val="en-US" w:eastAsia="zh-CN" w:bidi="ar-SA"/>
              </w:rPr>
              <w:t>抽《环境及职业健康安全检查记录表》，检查项目：消防管理检查、用电检查、固废处理、文件、记录管理、管理方案落实情况等，</w:t>
            </w:r>
            <w:r>
              <w:rPr>
                <w:rFonts w:hint="eastAsia" w:ascii="Times New Roman" w:hAnsi="Times New Roman" w:cs="Times New Roman"/>
                <w:color w:val="auto"/>
                <w:kern w:val="2"/>
                <w:sz w:val="21"/>
                <w:szCs w:val="20"/>
                <w:highlight w:val="none"/>
                <w:lang w:val="en-US" w:eastAsia="zh-CN" w:bidi="ar-SA"/>
              </w:rPr>
              <w:t>检查结论：</w:t>
            </w:r>
            <w:r>
              <w:rPr>
                <w:rFonts w:hint="eastAsia" w:ascii="Times New Roman" w:hAnsi="Times New Roman" w:eastAsia="宋体" w:cs="Times New Roman"/>
                <w:color w:val="auto"/>
                <w:kern w:val="2"/>
                <w:sz w:val="21"/>
                <w:szCs w:val="20"/>
                <w:highlight w:val="none"/>
                <w:lang w:val="en-US" w:eastAsia="zh-CN" w:bidi="ar-SA"/>
              </w:rPr>
              <w:t xml:space="preserve">满足要求。检查人：魏干传   检查日期： </w:t>
            </w:r>
            <w:r>
              <w:rPr>
                <w:rFonts w:hint="default" w:ascii="Times New Roman" w:hAnsi="Times New Roman" w:eastAsia="宋体" w:cs="Times New Roman"/>
                <w:color w:val="auto"/>
                <w:kern w:val="2"/>
                <w:sz w:val="21"/>
                <w:szCs w:val="20"/>
                <w:highlight w:val="none"/>
                <w:lang w:val="en-US" w:eastAsia="zh-CN" w:bidi="ar-SA"/>
              </w:rPr>
              <w:t>2022</w:t>
            </w:r>
            <w:r>
              <w:rPr>
                <w:rFonts w:hint="eastAsia" w:ascii="Times New Roman" w:hAnsi="Times New Roman" w:eastAsia="宋体" w:cs="Times New Roman"/>
                <w:color w:val="auto"/>
                <w:kern w:val="2"/>
                <w:sz w:val="21"/>
                <w:szCs w:val="20"/>
                <w:highlight w:val="none"/>
                <w:lang w:val="en-US" w:eastAsia="zh-CN" w:bidi="ar-SA"/>
              </w:rPr>
              <w:t>.7.6</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565" w:type="dxa"/>
            <w:vAlign w:val="top"/>
          </w:tcPr>
          <w:p>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合规性评价控制程序</w:t>
            </w:r>
            <w:r>
              <w:rPr>
                <w:rFonts w:hint="eastAsia" w:ascii="宋体" w:hAnsi="宋体"/>
                <w:color w:val="auto"/>
                <w:sz w:val="21"/>
                <w:szCs w:val="21"/>
                <w:highlight w:val="none"/>
              </w:rPr>
              <w:t>》，规定明确基本合理。</w:t>
            </w:r>
            <w:r>
              <w:rPr>
                <w:rFonts w:hint="eastAsia" w:ascii="宋体" w:hAnsi="宋体"/>
                <w:color w:val="auto"/>
                <w:sz w:val="21"/>
                <w:szCs w:val="21"/>
                <w:highlight w:val="none"/>
                <w:lang w:eastAsia="zh-CN"/>
              </w:rPr>
              <w:t>综合部</w:t>
            </w:r>
            <w:r>
              <w:rPr>
                <w:rFonts w:hint="eastAsia" w:ascii="宋体" w:hAnsi="宋体"/>
                <w:color w:val="auto"/>
                <w:sz w:val="21"/>
                <w:szCs w:val="21"/>
                <w:highlight w:val="none"/>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查由</w:t>
            </w:r>
            <w:r>
              <w:rPr>
                <w:rFonts w:hint="eastAsia" w:ascii="宋体" w:hAnsi="宋体"/>
                <w:color w:val="auto"/>
                <w:sz w:val="21"/>
                <w:szCs w:val="21"/>
                <w:highlight w:val="none"/>
                <w:lang w:eastAsia="zh-CN"/>
              </w:rPr>
              <w:t>综合部</w:t>
            </w:r>
            <w:r>
              <w:rPr>
                <w:rFonts w:hint="eastAsia" w:ascii="宋体" w:hAnsi="宋体"/>
                <w:color w:val="auto"/>
                <w:sz w:val="21"/>
                <w:szCs w:val="21"/>
                <w:highlight w:val="none"/>
              </w:rPr>
              <w:t>组织各部门于</w:t>
            </w:r>
            <w:r>
              <w:rPr>
                <w:rFonts w:hint="eastAsia" w:ascii="宋体" w:hAnsi="宋体"/>
                <w:color w:val="auto"/>
                <w:sz w:val="21"/>
                <w:szCs w:val="21"/>
                <w:highlight w:val="none"/>
                <w:lang w:val="en-US" w:eastAsia="zh-CN"/>
              </w:rPr>
              <w:t>202</w:t>
            </w:r>
            <w:r>
              <w:rPr>
                <w:rFonts w:hint="default" w:ascii="宋体" w:hAnsi="宋体"/>
                <w:color w:val="auto"/>
                <w:sz w:val="21"/>
                <w:szCs w:val="21"/>
                <w:highlight w:val="none"/>
                <w:lang w:eastAsia="zh-CN"/>
              </w:rPr>
              <w:t>2</w:t>
            </w:r>
            <w:r>
              <w:rPr>
                <w:rFonts w:hint="eastAsia" w:ascii="宋体" w:hAnsi="宋体"/>
                <w:color w:val="auto"/>
                <w:sz w:val="21"/>
                <w:szCs w:val="21"/>
                <w:highlight w:val="none"/>
                <w:lang w:val="en-US" w:eastAsia="zh-CN"/>
              </w:rPr>
              <w:t>年</w:t>
            </w:r>
            <w:r>
              <w:rPr>
                <w:rFonts w:hint="default" w:ascii="宋体" w:hAnsi="宋体"/>
                <w:color w:val="auto"/>
                <w:sz w:val="21"/>
                <w:szCs w:val="21"/>
                <w:highlight w:val="none"/>
                <w:lang w:eastAsia="zh-CN"/>
              </w:rPr>
              <w:t>5</w:t>
            </w:r>
            <w:r>
              <w:rPr>
                <w:rFonts w:hint="eastAsia" w:ascii="宋体" w:hAnsi="宋体"/>
                <w:color w:val="auto"/>
                <w:sz w:val="21"/>
                <w:szCs w:val="21"/>
                <w:highlight w:val="none"/>
                <w:lang w:val="en-US" w:eastAsia="zh-CN"/>
              </w:rPr>
              <w:t>月15日</w:t>
            </w:r>
            <w:r>
              <w:rPr>
                <w:rFonts w:hint="eastAsia" w:ascii="宋体" w:hAnsi="宋体"/>
                <w:color w:val="auto"/>
                <w:sz w:val="21"/>
                <w:szCs w:val="21"/>
                <w:highlight w:val="none"/>
              </w:rPr>
              <w:t>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评价组长：龙继承</w:t>
            </w:r>
          </w:p>
          <w:p>
            <w:pPr>
              <w:widowControl/>
              <w:spacing w:line="40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成员：</w:t>
            </w:r>
            <w:r>
              <w:rPr>
                <w:rFonts w:hint="eastAsia" w:ascii="宋体" w:hAnsi="宋体"/>
                <w:color w:val="auto"/>
                <w:sz w:val="21"/>
                <w:szCs w:val="21"/>
                <w:highlight w:val="none"/>
                <w:lang w:val="en-US" w:eastAsia="zh-CN"/>
              </w:rPr>
              <w:t xml:space="preserve"> 魏干传、曾小玲、</w:t>
            </w:r>
            <w:r>
              <w:rPr>
                <w:rFonts w:hint="eastAsia" w:ascii="宋体" w:hAnsi="宋体"/>
                <w:color w:val="auto"/>
                <w:sz w:val="21"/>
                <w:szCs w:val="21"/>
                <w:highlight w:val="none"/>
                <w:lang w:eastAsia="zh-CN"/>
              </w:rPr>
              <w:t>刘合清</w:t>
            </w:r>
          </w:p>
          <w:p>
            <w:pPr>
              <w:widowControl/>
              <w:spacing w:line="400" w:lineRule="exact"/>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lang w:eastAsia="zh-CN"/>
              </w:rPr>
              <w:t>环境合规性评价结论：</w:t>
            </w:r>
            <w:r>
              <w:rPr>
                <w:rFonts w:hint="eastAsia" w:ascii="宋体" w:hAnsi="宋体"/>
                <w:color w:val="auto"/>
                <w:sz w:val="21"/>
                <w:szCs w:val="21"/>
                <w:highlight w:val="none"/>
                <w:lang w:eastAsia="zh-CN"/>
              </w:rPr>
              <w:br w:type="textWrapping"/>
            </w:r>
            <w:r>
              <w:rPr>
                <w:rFonts w:hint="eastAsia" w:ascii="宋体" w:hAnsi="宋体"/>
                <w:color w:val="auto"/>
                <w:sz w:val="21"/>
                <w:szCs w:val="21"/>
                <w:highlight w:val="none"/>
                <w:lang w:eastAsia="zh-CN"/>
              </w:rPr>
              <w:t>各部门都能够有效遵循法律法规进行办公，未发生过环境扰民事件和安全事故，未有单位和个人投拆，无环境污染事件发生，各单位的环境和安全行为基本符合环境法律法规和环境要求</w:t>
            </w:r>
          </w:p>
          <w:p>
            <w:pPr>
              <w:widowControl/>
              <w:spacing w:line="400" w:lineRule="exact"/>
              <w:jc w:val="left"/>
              <w:rPr>
                <w:rFonts w:hint="default" w:ascii="宋体" w:hAnsi="宋体" w:eastAsia="宋体" w:cs="宋体"/>
                <w:color w:val="auto"/>
                <w:kern w:val="2"/>
                <w:sz w:val="21"/>
                <w:szCs w:val="21"/>
                <w:highlight w:val="none"/>
                <w:lang w:val="en-US" w:eastAsia="zh-CN" w:bidi="ar"/>
              </w:rPr>
            </w:pPr>
            <w:r>
              <w:rPr>
                <w:rFonts w:hint="eastAsia" w:ascii="宋体" w:hAnsi="宋体"/>
                <w:color w:val="auto"/>
                <w:sz w:val="21"/>
                <w:szCs w:val="21"/>
                <w:highlight w:val="none"/>
              </w:rPr>
              <w:t>查：有《合规性评价报告》，有保持合规性评价的相关记录。</w:t>
            </w:r>
          </w:p>
        </w:tc>
        <w:tc>
          <w:tcPr>
            <w:tcW w:w="1024"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565"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eastAsia="zh-CN"/>
              </w:rPr>
              <w:t>月</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0</w:t>
            </w:r>
            <w:r>
              <w:rPr>
                <w:rFonts w:hint="eastAsia" w:ascii="宋体" w:hAnsi="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eastAsia="zh-CN"/>
              </w:rPr>
              <w:t>日</w:t>
            </w:r>
            <w:r>
              <w:rPr>
                <w:rFonts w:hint="eastAsia" w:ascii="宋体" w:hAnsi="宋体" w:eastAsia="宋体" w:cs="Times New Roman"/>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highlight w:val="none"/>
              </w:rPr>
            </w:pPr>
            <w:r>
              <w:rPr>
                <w:rFonts w:hint="eastAsia" w:ascii="宋体" w:hAnsi="宋体"/>
                <w:color w:val="auto"/>
                <w:sz w:val="21"/>
                <w:szCs w:val="21"/>
                <w:highlight w:val="none"/>
              </w:rPr>
              <w:t>范围</w:t>
            </w:r>
            <w:r>
              <w:rPr>
                <w:rFonts w:hint="eastAsia" w:ascii="宋体" w:hAnsi="宋体" w:eastAsia="宋体" w:cs="Times New Roman"/>
                <w:color w:val="auto"/>
                <w:szCs w:val="21"/>
                <w:highlight w:val="none"/>
              </w:rPr>
              <w:t>：管理手册覆盖的所有部门、过程和要素。</w:t>
            </w:r>
          </w:p>
          <w:p>
            <w:pPr>
              <w:spacing w:line="360" w:lineRule="atLeas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审核组长：</w:t>
            </w:r>
            <w:r>
              <w:rPr>
                <w:rFonts w:hint="eastAsia" w:ascii="宋体" w:hAnsi="宋体"/>
                <w:color w:val="auto"/>
                <w:sz w:val="21"/>
                <w:szCs w:val="21"/>
                <w:highlight w:val="none"/>
                <w:lang w:eastAsia="zh-CN"/>
              </w:rPr>
              <w:t>魏干传</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组</w:t>
            </w:r>
            <w:r>
              <w:rPr>
                <w:rFonts w:hint="eastAsia" w:ascii="宋体" w:hAnsi="宋体" w:eastAsia="宋体" w:cs="Times New Roman"/>
                <w:color w:val="auto"/>
                <w:szCs w:val="21"/>
                <w:highlight w:val="none"/>
              </w:rPr>
              <w:t>员：</w:t>
            </w:r>
            <w:r>
              <w:rPr>
                <w:rFonts w:hint="eastAsia" w:ascii="宋体" w:hAnsi="宋体"/>
                <w:color w:val="auto"/>
                <w:sz w:val="21"/>
                <w:szCs w:val="21"/>
                <w:highlight w:val="none"/>
                <w:lang w:eastAsia="zh-CN"/>
              </w:rPr>
              <w:t>刘合清</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综合部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市场部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w:t>
            </w:r>
            <w:r>
              <w:rPr>
                <w:rFonts w:hint="eastAsia" w:ascii="宋体" w:hAnsi="宋体" w:cs="Times New Roman"/>
                <w:color w:val="auto"/>
                <w:sz w:val="21"/>
                <w:szCs w:val="21"/>
                <w:highlight w:val="none"/>
              </w:rPr>
              <w:t>项</w:t>
            </w: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个，属一般不符合。涉及</w:t>
            </w:r>
            <w:r>
              <w:rPr>
                <w:rFonts w:hint="eastAsia" w:ascii="宋体" w:hAnsi="宋体" w:cs="Times New Roman"/>
                <w:color w:val="auto"/>
                <w:sz w:val="21"/>
                <w:szCs w:val="21"/>
                <w:highlight w:val="none"/>
                <w:lang w:val="en-US" w:eastAsia="zh-CN"/>
              </w:rPr>
              <w:t>综合部7.5.3条款，不符合描述为“</w:t>
            </w:r>
            <w:r>
              <w:rPr>
                <w:rFonts w:hint="eastAsia" w:ascii="宋体" w:hAnsi="宋体" w:cs="Times New Roman"/>
                <w:color w:val="auto"/>
                <w:sz w:val="21"/>
                <w:szCs w:val="21"/>
                <w:highlight w:val="none"/>
              </w:rPr>
              <w:t>查“中华人民共和国环境保护法”为失效版本，未及时更新</w:t>
            </w:r>
            <w:r>
              <w:rPr>
                <w:rFonts w:hint="eastAsia"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不符合和纠正措施</w:t>
            </w:r>
          </w:p>
          <w:p>
            <w:pPr>
              <w:adjustRightInd w:val="0"/>
              <w:snapToGrid w:val="0"/>
              <w:jc w:val="center"/>
              <w:rPr>
                <w:color w:val="auto"/>
                <w:highlight w:val="none"/>
              </w:rPr>
            </w:pPr>
            <w:r>
              <w:rPr>
                <w:rFonts w:hint="eastAsia" w:ascii="宋体" w:hAnsi="宋体"/>
                <w:color w:val="auto"/>
                <w:sz w:val="21"/>
                <w:szCs w:val="21"/>
                <w:highlight w:val="none"/>
              </w:rPr>
              <w:t>持续改进</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10.2</w:t>
            </w:r>
          </w:p>
          <w:p>
            <w:pPr>
              <w:rPr>
                <w:color w:val="auto"/>
                <w:highlight w:val="none"/>
              </w:rPr>
            </w:pPr>
            <w:r>
              <w:rPr>
                <w:rFonts w:hint="eastAsia" w:ascii="宋体" w:hAnsi="宋体"/>
                <w:color w:val="auto"/>
                <w:sz w:val="21"/>
                <w:szCs w:val="21"/>
                <w:highlight w:val="none"/>
              </w:rPr>
              <w:t>10.3</w:t>
            </w:r>
          </w:p>
        </w:tc>
        <w:tc>
          <w:tcPr>
            <w:tcW w:w="10565"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rPr>
              <w:t>《</w:t>
            </w:r>
            <w:r>
              <w:rPr>
                <w:rFonts w:hint="eastAsia" w:ascii="宋体" w:hAnsi="宋体"/>
                <w:color w:val="auto"/>
                <w:sz w:val="21"/>
                <w:szCs w:val="21"/>
                <w:highlight w:val="none"/>
                <w:lang w:eastAsia="zh-CN"/>
              </w:rPr>
              <w:t>管理评审控制程序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不合格品控制程序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纠正预防措施控制程序</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w:t>
            </w:r>
            <w:r>
              <w:rPr>
                <w:rFonts w:hint="eastAsia" w:ascii="宋体" w:hAnsi="宋体"/>
                <w:color w:val="auto"/>
                <w:sz w:val="21"/>
                <w:szCs w:val="21"/>
                <w:highlight w:val="none"/>
              </w:rPr>
              <w:t>措施处</w:t>
            </w:r>
            <w:r>
              <w:rPr>
                <w:rFonts w:hint="eastAsia" w:ascii="宋体" w:hAnsi="宋体"/>
                <w:color w:val="auto"/>
                <w:sz w:val="21"/>
                <w:szCs w:val="21"/>
                <w:highlight w:val="none"/>
              </w:rPr>
              <w:t>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05</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《外来文件清单》未识别《民法典》</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24"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highlight w:val="none"/>
              </w:rPr>
            </w:pPr>
            <w:r>
              <w:rPr>
                <w:rFonts w:hint="eastAsia" w:ascii="宋体" w:hAnsi="宋体" w:cs="新宋体"/>
                <w:color w:val="auto"/>
                <w:sz w:val="21"/>
                <w:szCs w:val="21"/>
                <w:highlight w:val="none"/>
              </w:rPr>
              <w:t>EMS运行控制相关财务支出证据</w:t>
            </w:r>
          </w:p>
        </w:tc>
        <w:tc>
          <w:tcPr>
            <w:tcW w:w="960" w:type="dxa"/>
            <w:vAlign w:val="top"/>
          </w:tcPr>
          <w:p>
            <w:pPr>
              <w:adjustRightInd w:val="0"/>
              <w:snapToGrid w:val="0"/>
              <w:rPr>
                <w:color w:val="auto"/>
                <w:highlight w:val="none"/>
              </w:rPr>
            </w:pPr>
          </w:p>
        </w:tc>
        <w:tc>
          <w:tcPr>
            <w:tcW w:w="10565"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12000元。</w:t>
            </w:r>
          </w:p>
        </w:tc>
        <w:tc>
          <w:tcPr>
            <w:tcW w:w="1024" w:type="dxa"/>
          </w:tcPr>
          <w:p>
            <w:pPr>
              <w:rPr>
                <w:color w:val="auto"/>
                <w:highlight w:val="none"/>
              </w:rPr>
            </w:pPr>
          </w:p>
        </w:tc>
      </w:tr>
    </w:tbl>
    <w:p>
      <w:pPr>
        <w:pStyle w:val="5"/>
        <w:rPr>
          <w:color w:val="auto"/>
          <w:highlight w:val="none"/>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highlight w:val="none"/>
        </w:rPr>
      </w:pPr>
    </w:p>
    <w:p>
      <w:pPr>
        <w:rPr>
          <w:color w:val="auto"/>
          <w:highlight w:val="none"/>
        </w:rPr>
      </w:pPr>
    </w:p>
    <w:p>
      <w:pPr>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5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 xml:space="preserve">市场部 ， </w:t>
            </w:r>
            <w:r>
              <w:rPr>
                <w:rFonts w:hint="eastAsia"/>
                <w:color w:val="auto"/>
                <w:sz w:val="24"/>
                <w:szCs w:val="24"/>
                <w:highlight w:val="none"/>
              </w:rPr>
              <w:t>主管领导：</w:t>
            </w:r>
            <w:r>
              <w:rPr>
                <w:rFonts w:hint="eastAsia"/>
                <w:color w:val="auto"/>
                <w:sz w:val="24"/>
                <w:szCs w:val="24"/>
                <w:highlight w:val="none"/>
                <w:lang w:val="en-US" w:eastAsia="zh-CN"/>
              </w:rPr>
              <w:t>张帆</w:t>
            </w:r>
            <w:r>
              <w:rPr>
                <w:rFonts w:hint="eastAsia"/>
                <w:color w:val="auto"/>
                <w:sz w:val="24"/>
                <w:highlight w:val="none"/>
                <w:lang w:val="en-US" w:eastAsia="zh-CN"/>
              </w:rPr>
              <w:t>，</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毛丹丹</w:t>
            </w:r>
          </w:p>
        </w:tc>
        <w:tc>
          <w:tcPr>
            <w:tcW w:w="153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杨珍全 ，     </w:t>
            </w:r>
            <w:r>
              <w:rPr>
                <w:rFonts w:hint="eastAsia"/>
                <w:color w:val="auto"/>
                <w:sz w:val="24"/>
                <w:szCs w:val="24"/>
                <w:highlight w:val="none"/>
              </w:rPr>
              <w:t>审核时间：</w:t>
            </w:r>
            <w:r>
              <w:rPr>
                <w:rFonts w:hint="eastAsia"/>
                <w:color w:val="auto"/>
                <w:sz w:val="24"/>
                <w:szCs w:val="24"/>
                <w:highlight w:val="none"/>
                <w:lang w:val="en-US" w:eastAsia="zh-CN"/>
              </w:rPr>
              <w:t>2022年7月30日下午</w:t>
            </w:r>
          </w:p>
        </w:tc>
        <w:tc>
          <w:tcPr>
            <w:tcW w:w="153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54" w:type="dxa"/>
            <w:vAlign w:val="center"/>
          </w:tcPr>
          <w:p>
            <w:pPr>
              <w:rPr>
                <w:color w:val="auto"/>
                <w:sz w:val="24"/>
                <w:szCs w:val="24"/>
                <w:highlight w:val="none"/>
              </w:rPr>
            </w:pPr>
            <w:r>
              <w:rPr>
                <w:rFonts w:hint="eastAsia"/>
                <w:color w:val="auto"/>
                <w:sz w:val="24"/>
                <w:szCs w:val="24"/>
                <w:highlight w:val="none"/>
              </w:rPr>
              <w:t>审核条款：</w:t>
            </w:r>
            <w:r>
              <w:rPr>
                <w:rFonts w:hint="eastAsia" w:ascii="宋体" w:hAnsi="宋体" w:cs="Times New Roman"/>
                <w:color w:val="auto"/>
                <w:sz w:val="21"/>
                <w:szCs w:val="21"/>
                <w:highlight w:val="none"/>
              </w:rPr>
              <w:t>5.3组织的角色、职责和权限、6.1.2环境因素；6.2目标及其达成的策划；7.4沟通；8.1运行策划和控制；8.2应急准备和响应</w:t>
            </w:r>
          </w:p>
        </w:tc>
        <w:tc>
          <w:tcPr>
            <w:tcW w:w="153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E5.3； </w:t>
            </w:r>
          </w:p>
        </w:tc>
        <w:tc>
          <w:tcPr>
            <w:tcW w:w="10054" w:type="dxa"/>
          </w:tcPr>
          <w:p>
            <w:pPr>
              <w:autoSpaceDE w:val="0"/>
              <w:autoSpaceDN w:val="0"/>
              <w:adjustRightInd w:val="0"/>
              <w:spacing w:line="400" w:lineRule="exact"/>
              <w:jc w:val="left"/>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市场部</w:t>
            </w:r>
            <w:r>
              <w:rPr>
                <w:rFonts w:hint="eastAsia" w:ascii="宋体" w:hAnsi="宋体"/>
                <w:color w:val="auto"/>
                <w:szCs w:val="21"/>
                <w:highlight w:val="none"/>
              </w:rPr>
              <w:t>的岗位职责和权限如下：</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4）负责宣传、影响主要顾客的环境行为。</w:t>
            </w:r>
          </w:p>
          <w:p>
            <w:pPr>
              <w:spacing w:line="400" w:lineRule="exact"/>
              <w:rPr>
                <w:rFonts w:ascii="宋体" w:hAnsi="宋体"/>
                <w:color w:val="auto"/>
                <w:szCs w:val="21"/>
                <w:highlight w:val="none"/>
              </w:rPr>
            </w:pPr>
            <w:r>
              <w:rPr>
                <w:rFonts w:hint="eastAsia" w:ascii="宋体" w:hAnsi="宋体"/>
                <w:color w:val="auto"/>
                <w:szCs w:val="21"/>
                <w:highlight w:val="none"/>
                <w:lang w:eastAsia="zh-CN"/>
              </w:rPr>
              <w:t>市场部</w:t>
            </w:r>
            <w:r>
              <w:rPr>
                <w:rFonts w:hint="eastAsia" w:ascii="宋体" w:hAnsi="宋体"/>
                <w:color w:val="auto"/>
                <w:szCs w:val="21"/>
                <w:highlight w:val="none"/>
              </w:rPr>
              <w:t>经理任职要求：</w:t>
            </w:r>
          </w:p>
          <w:p>
            <w:pPr>
              <w:numPr>
                <w:ilvl w:val="0"/>
                <w:numId w:val="4"/>
              </w:numPr>
              <w:spacing w:line="400" w:lineRule="exact"/>
              <w:rPr>
                <w:rFonts w:ascii="宋体" w:hAnsi="宋体"/>
                <w:color w:val="auto"/>
                <w:szCs w:val="21"/>
                <w:highlight w:val="none"/>
              </w:rPr>
            </w:pPr>
            <w:r>
              <w:rPr>
                <w:rFonts w:hint="eastAsia" w:ascii="宋体" w:hAnsi="宋体"/>
                <w:color w:val="auto"/>
                <w:szCs w:val="21"/>
                <w:highlight w:val="none"/>
              </w:rPr>
              <w:t>具有较高的综合素质，较强的组织协调能力和市场应变能力；熟悉分管业务的控制、指挥和协调有较强的分析决策能力；</w:t>
            </w:r>
          </w:p>
          <w:p>
            <w:pPr>
              <w:numPr>
                <w:ilvl w:val="0"/>
                <w:numId w:val="4"/>
              </w:numPr>
              <w:spacing w:line="400" w:lineRule="exact"/>
              <w:rPr>
                <w:rFonts w:ascii="宋体" w:hAnsi="宋体"/>
                <w:color w:val="auto"/>
                <w:szCs w:val="21"/>
                <w:highlight w:val="none"/>
              </w:rPr>
            </w:pPr>
            <w:r>
              <w:rPr>
                <w:rFonts w:hint="eastAsia" w:ascii="宋体" w:hAnsi="宋体"/>
                <w:color w:val="auto"/>
                <w:szCs w:val="21"/>
                <w:highlight w:val="none"/>
              </w:rPr>
              <w:t>具有两年以上相关行业工作经历；</w:t>
            </w:r>
          </w:p>
          <w:p>
            <w:pPr>
              <w:numPr>
                <w:ilvl w:val="0"/>
                <w:numId w:val="4"/>
              </w:numPr>
              <w:spacing w:line="400" w:lineRule="exact"/>
              <w:rPr>
                <w:rFonts w:ascii="宋体" w:hAnsi="宋体"/>
                <w:color w:val="auto"/>
                <w:szCs w:val="21"/>
                <w:highlight w:val="none"/>
              </w:rPr>
            </w:pPr>
            <w:r>
              <w:rPr>
                <w:rFonts w:hint="eastAsia" w:ascii="宋体" w:hAnsi="宋体"/>
                <w:color w:val="auto"/>
                <w:szCs w:val="21"/>
                <w:highlight w:val="none"/>
              </w:rPr>
              <w:t>要求掌握计划调度工作技术，较强的统筹协调，组织安排工作的能力，有一定统计分析能力。</w:t>
            </w:r>
          </w:p>
          <w:p>
            <w:pPr>
              <w:spacing w:line="400" w:lineRule="exact"/>
              <w:rPr>
                <w:rFonts w:ascii="宋体" w:hAnsi="宋体"/>
                <w:color w:val="auto"/>
                <w:szCs w:val="21"/>
                <w:highlight w:val="none"/>
              </w:rPr>
            </w:pPr>
            <w:r>
              <w:rPr>
                <w:rFonts w:hint="eastAsia" w:ascii="宋体" w:hAnsi="宋体"/>
                <w:color w:val="auto"/>
                <w:szCs w:val="21"/>
                <w:highlight w:val="none"/>
              </w:rPr>
              <w:t>……</w:t>
            </w:r>
          </w:p>
          <w:p>
            <w:pPr>
              <w:spacing w:line="400" w:lineRule="exact"/>
              <w:rPr>
                <w:rFonts w:ascii="宋体" w:hAnsi="宋体"/>
                <w:color w:val="auto"/>
                <w:szCs w:val="21"/>
                <w:highlight w:val="none"/>
              </w:rPr>
            </w:pPr>
            <w:r>
              <w:rPr>
                <w:rFonts w:hint="eastAsia" w:ascii="宋体" w:hAnsi="宋体"/>
                <w:color w:val="auto"/>
                <w:szCs w:val="21"/>
                <w:highlight w:val="none"/>
              </w:rPr>
              <w:t>部门职责清晰、明确。</w:t>
            </w:r>
          </w:p>
          <w:p>
            <w:pPr>
              <w:spacing w:line="400" w:lineRule="exact"/>
              <w:rPr>
                <w:rFonts w:ascii="宋体" w:hAnsi="宋体" w:cs="宋体"/>
                <w:color w:val="auto"/>
                <w:szCs w:val="21"/>
                <w:highlight w:val="none"/>
              </w:rPr>
            </w:pPr>
            <w:r>
              <w:rPr>
                <w:rFonts w:hint="eastAsia" w:ascii="宋体" w:hAnsi="宋体"/>
                <w:color w:val="auto"/>
                <w:szCs w:val="21"/>
                <w:highlight w:val="none"/>
                <w:lang w:eastAsia="zh-CN"/>
              </w:rPr>
              <w:t>市场部</w:t>
            </w:r>
            <w:r>
              <w:rPr>
                <w:rFonts w:hint="eastAsia" w:ascii="宋体" w:hAnsi="宋体"/>
                <w:color w:val="auto"/>
                <w:szCs w:val="21"/>
                <w:highlight w:val="none"/>
              </w:rPr>
              <w:t xml:space="preserve">负责人能基本阐述本部门的主要职责。 </w:t>
            </w:r>
          </w:p>
        </w:tc>
        <w:tc>
          <w:tcPr>
            <w:tcW w:w="153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环境因素</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E6.1.2</w:t>
            </w:r>
          </w:p>
        </w:tc>
        <w:tc>
          <w:tcPr>
            <w:tcW w:w="10054" w:type="dxa"/>
          </w:tcPr>
          <w:p>
            <w:pPr>
              <w:autoSpaceDE w:val="0"/>
              <w:autoSpaceDN w:val="0"/>
              <w:adjustRightInd w:val="0"/>
              <w:spacing w:line="400" w:lineRule="exact"/>
              <w:ind w:firstLine="420" w:firstLineChars="200"/>
              <w:jc w:val="left"/>
              <w:rPr>
                <w:rFonts w:ascii="宋体" w:cs="宋体"/>
                <w:color w:val="auto"/>
                <w:sz w:val="21"/>
                <w:szCs w:val="21"/>
                <w:highlight w:val="none"/>
              </w:rPr>
            </w:pPr>
            <w:r>
              <w:rPr>
                <w:rFonts w:hint="eastAsia" w:ascii="宋体" w:cs="宋体"/>
                <w:color w:val="auto"/>
                <w:sz w:val="21"/>
                <w:szCs w:val="21"/>
                <w:highlight w:val="none"/>
              </w:rPr>
              <w:t>查，依据</w:t>
            </w:r>
            <w:r>
              <w:rPr>
                <w:rFonts w:hint="eastAsia" w:ascii="宋体" w:hAnsi="宋体" w:cs="宋体"/>
                <w:color w:val="auto"/>
                <w:sz w:val="21"/>
                <w:szCs w:val="21"/>
                <w:highlight w:val="none"/>
              </w:rPr>
              <w:t>《</w:t>
            </w:r>
            <w:r>
              <w:rPr>
                <w:rFonts w:hint="eastAsia" w:ascii="宋体" w:hAnsi="宋体" w:cs="宋体"/>
                <w:color w:val="auto"/>
                <w:kern w:val="0"/>
                <w:szCs w:val="21"/>
                <w:highlight w:val="none"/>
              </w:rPr>
              <w:t>环境因素危险源的识别和评价控制程序</w:t>
            </w:r>
            <w:r>
              <w:rPr>
                <w:rFonts w:hint="eastAsia" w:ascii="宋体" w:hAnsi="宋体" w:cs="宋体"/>
                <w:color w:val="auto"/>
                <w:sz w:val="21"/>
                <w:szCs w:val="21"/>
                <w:highlight w:val="none"/>
              </w:rPr>
              <w:t>》</w:t>
            </w:r>
            <w:r>
              <w:rPr>
                <w:rFonts w:hint="eastAsia" w:ascii="宋体" w:cs="宋体"/>
                <w:color w:val="auto"/>
                <w:sz w:val="21"/>
                <w:szCs w:val="21"/>
                <w:highlight w:val="none"/>
              </w:rPr>
              <w:t>，根据不同的时态、状态识别了环境因素，通过对其发生的可能性、危害性等进行评价，</w:t>
            </w:r>
            <w:r>
              <w:rPr>
                <w:rFonts w:hint="eastAsia" w:ascii="宋体" w:cs="宋体"/>
                <w:color w:val="auto"/>
                <w:sz w:val="21"/>
                <w:szCs w:val="21"/>
                <w:highlight w:val="none"/>
                <w:lang w:eastAsia="zh-CN"/>
              </w:rPr>
              <w:t>市场部</w:t>
            </w:r>
            <w:r>
              <w:rPr>
                <w:rFonts w:hint="eastAsia" w:ascii="宋体" w:cs="宋体"/>
                <w:color w:val="auto"/>
                <w:sz w:val="21"/>
                <w:szCs w:val="21"/>
                <w:highlight w:val="none"/>
              </w:rPr>
              <w:t>确定的重要环境因素有：潜在火灾、固废的排放。</w:t>
            </w:r>
          </w:p>
          <w:p>
            <w:pPr>
              <w:autoSpaceDE w:val="0"/>
              <w:autoSpaceDN w:val="0"/>
              <w:adjustRightInd w:val="0"/>
              <w:spacing w:line="400" w:lineRule="exact"/>
              <w:ind w:firstLine="420" w:firstLineChars="200"/>
              <w:jc w:val="left"/>
              <w:rPr>
                <w:rFonts w:ascii="宋体" w:hAnsi="宋体"/>
                <w:color w:val="auto"/>
                <w:sz w:val="21"/>
                <w:szCs w:val="21"/>
                <w:highlight w:val="none"/>
              </w:rPr>
            </w:pPr>
            <w:r>
              <w:rPr>
                <w:rFonts w:hint="eastAsia" w:ascii="宋体" w:cs="宋体"/>
                <w:color w:val="auto"/>
                <w:sz w:val="21"/>
                <w:szCs w:val="21"/>
                <w:highlight w:val="none"/>
              </w:rPr>
              <w:t>查看，部门的主要工作为客户提供</w:t>
            </w:r>
            <w:r>
              <w:rPr>
                <w:color w:val="auto"/>
                <w:sz w:val="21"/>
                <w:szCs w:val="21"/>
                <w:highlight w:val="none"/>
              </w:rPr>
              <w:t>塑胶制品、纸制品、木制品、金属制品的</w:t>
            </w:r>
            <w:r>
              <w:rPr>
                <w:rFonts w:hint="eastAsia" w:ascii="宋体" w:cs="宋体"/>
                <w:color w:val="auto"/>
                <w:sz w:val="21"/>
                <w:szCs w:val="21"/>
                <w:highlight w:val="none"/>
              </w:rPr>
              <w:t>销售。销售过程中有</w:t>
            </w:r>
            <w:r>
              <w:rPr>
                <w:rFonts w:hint="eastAsia" w:cs="宋体"/>
                <w:color w:val="auto"/>
                <w:sz w:val="21"/>
                <w:szCs w:val="21"/>
                <w:highlight w:val="none"/>
              </w:rPr>
              <w:t>办公固废、辅料等固废，</w:t>
            </w:r>
            <w:r>
              <w:rPr>
                <w:rFonts w:hint="eastAsia" w:ascii="宋体" w:cs="宋体"/>
                <w:color w:val="auto"/>
                <w:sz w:val="21"/>
                <w:szCs w:val="21"/>
                <w:highlight w:val="none"/>
              </w:rPr>
              <w:t>部门的环境因素识别和重要环境因素基本到位。</w:t>
            </w:r>
          </w:p>
        </w:tc>
        <w:tc>
          <w:tcPr>
            <w:tcW w:w="1535" w:type="dxa"/>
          </w:tcPr>
          <w:p>
            <w:pPr>
              <w:rPr>
                <w:color w:val="auto"/>
                <w:sz w:val="21"/>
                <w:szCs w:val="21"/>
                <w:highlight w:val="none"/>
              </w:rPr>
            </w:pPr>
            <w:r>
              <w:rPr>
                <w:rFonts w:hint="eastAsia"/>
                <w:color w:val="auto"/>
                <w:sz w:val="21"/>
                <w:szCs w:val="21"/>
                <w:highlight w:val="none"/>
              </w:rPr>
              <w:t>符合</w:t>
            </w:r>
          </w:p>
          <w:p>
            <w:pPr>
              <w:pStyle w:val="15"/>
              <w:rPr>
                <w:color w:val="auto"/>
                <w:sz w:val="21"/>
                <w:szCs w:val="21"/>
                <w:highlight w:val="none"/>
              </w:rPr>
            </w:pPr>
          </w:p>
          <w:p>
            <w:pPr>
              <w:pStyle w:val="15"/>
              <w:rPr>
                <w:color w:val="auto"/>
                <w:sz w:val="21"/>
                <w:szCs w:val="21"/>
                <w:highlight w:val="none"/>
              </w:rPr>
            </w:pPr>
          </w:p>
          <w:p>
            <w:pPr>
              <w:pStyle w:val="15"/>
              <w:rPr>
                <w:color w:val="auto"/>
                <w:sz w:val="21"/>
                <w:szCs w:val="21"/>
                <w:highlight w:val="none"/>
              </w:rPr>
            </w:pPr>
          </w:p>
          <w:p>
            <w:pPr>
              <w:pStyle w:val="15"/>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E6.2</w:t>
            </w:r>
          </w:p>
        </w:tc>
        <w:tc>
          <w:tcPr>
            <w:tcW w:w="10054" w:type="dxa"/>
          </w:tcPr>
          <w:p>
            <w:pPr>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市场部</w:t>
            </w:r>
            <w:r>
              <w:rPr>
                <w:rFonts w:hint="eastAsia" w:ascii="宋体" w:hAnsi="宋体" w:cs="Arial"/>
                <w:iCs/>
                <w:color w:val="auto"/>
                <w:szCs w:val="21"/>
                <w:highlight w:val="none"/>
              </w:rPr>
              <w:t>的环境安全目标为：</w:t>
            </w:r>
          </w:p>
          <w:p>
            <w:pPr>
              <w:tabs>
                <w:tab w:val="center" w:pos="4894"/>
              </w:tabs>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rPr>
              <w:t>环境目标</w:t>
            </w:r>
            <w:r>
              <w:rPr>
                <w:rFonts w:hint="eastAsia" w:ascii="宋体" w:hAnsi="宋体" w:cs="Arial"/>
                <w:iCs/>
                <w:color w:val="auto"/>
                <w:szCs w:val="21"/>
                <w:highlight w:val="none"/>
              </w:rPr>
              <w:tab/>
            </w:r>
            <w:r>
              <w:rPr>
                <w:rFonts w:hint="eastAsia" w:ascii="宋体" w:hAnsi="宋体"/>
                <w:color w:val="auto"/>
                <w:szCs w:val="21"/>
                <w:highlight w:val="none"/>
              </w:rPr>
              <w:t>考核情况（202</w:t>
            </w:r>
            <w:r>
              <w:rPr>
                <w:rFonts w:hint="eastAsia" w:ascii="宋体" w:hAnsi="宋体"/>
                <w:color w:val="auto"/>
                <w:szCs w:val="21"/>
                <w:highlight w:val="none"/>
                <w:lang w:val="en-US" w:eastAsia="zh-CN"/>
              </w:rPr>
              <w:t>2</w:t>
            </w:r>
            <w:r>
              <w:rPr>
                <w:rFonts w:hint="eastAsia" w:ascii="宋体" w:hAnsi="宋体"/>
                <w:color w:val="auto"/>
                <w:szCs w:val="21"/>
                <w:highlight w:val="none"/>
              </w:rPr>
              <w:t>年1月-</w:t>
            </w:r>
            <w:r>
              <w:rPr>
                <w:rFonts w:hint="eastAsia" w:ascii="宋体" w:hAnsi="宋体"/>
                <w:color w:val="auto"/>
                <w:szCs w:val="21"/>
                <w:highlight w:val="none"/>
                <w:lang w:val="en-US" w:eastAsia="zh-CN"/>
              </w:rPr>
              <w:t>7</w:t>
            </w:r>
            <w:r>
              <w:rPr>
                <w:rFonts w:hint="eastAsia" w:ascii="宋体" w:hAnsi="宋体"/>
                <w:color w:val="auto"/>
                <w:szCs w:val="21"/>
                <w:highlight w:val="none"/>
              </w:rPr>
              <w:t>月）</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eastAsia="宋体"/>
                <w:color w:val="auto"/>
                <w:highlight w:val="none"/>
                <w:lang w:eastAsia="zh-CN"/>
              </w:rPr>
              <w:t>固体废弃物100%合规处理</w:t>
            </w:r>
            <w:r>
              <w:rPr>
                <w:rFonts w:hint="eastAsia" w:ascii="宋体" w:hAnsi="宋体" w:cs="宋体"/>
                <w:color w:val="auto"/>
                <w:szCs w:val="21"/>
                <w:highlight w:val="none"/>
              </w:rPr>
              <w:t xml:space="preserve">；              </w:t>
            </w:r>
            <w:r>
              <w:rPr>
                <w:rFonts w:hint="eastAsia"/>
                <w:color w:val="auto"/>
                <w:szCs w:val="21"/>
                <w:highlight w:val="none"/>
              </w:rPr>
              <w:t xml:space="preserve"> 100%</w:t>
            </w:r>
          </w:p>
          <w:p>
            <w:pPr>
              <w:snapToGrid w:val="0"/>
              <w:rPr>
                <w:color w:val="auto"/>
                <w:szCs w:val="21"/>
                <w:highlight w:val="none"/>
              </w:rPr>
            </w:pPr>
            <w:r>
              <w:rPr>
                <w:rFonts w:hint="eastAsia" w:ascii="宋体" w:hAnsi="宋体" w:cs="宋体"/>
                <w:color w:val="auto"/>
                <w:szCs w:val="21"/>
                <w:highlight w:val="none"/>
              </w:rPr>
              <w:t>2）</w:t>
            </w:r>
            <w:r>
              <w:rPr>
                <w:rFonts w:hint="eastAsia" w:ascii="宋体" w:eastAsia="宋体"/>
                <w:color w:val="auto"/>
                <w:highlight w:val="none"/>
              </w:rPr>
              <w:t>火灾事故为0</w:t>
            </w:r>
            <w:r>
              <w:rPr>
                <w:rFonts w:hint="eastAsia"/>
                <w:color w:val="auto"/>
                <w:szCs w:val="21"/>
                <w:highlight w:val="none"/>
              </w:rPr>
              <w:t>；                          未发生火灾事故</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查202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目标完成情况、达到目标要求。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查，公司编制了环境管理实施方案：制定、执行程序或作业文件；加强监测和测量</w:t>
            </w:r>
            <w:r>
              <w:rPr>
                <w:rFonts w:hint="eastAsia" w:ascii="宋体" w:hAnsi="宋体" w:cs="宋体"/>
                <w:color w:val="auto"/>
                <w:szCs w:val="21"/>
                <w:highlight w:val="none"/>
              </w:rPr>
              <w:t>；培训与教育；应急响应。</w:t>
            </w:r>
          </w:p>
        </w:tc>
        <w:tc>
          <w:tcPr>
            <w:tcW w:w="153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沟通 </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E7.4 </w:t>
            </w:r>
          </w:p>
        </w:tc>
        <w:tc>
          <w:tcPr>
            <w:tcW w:w="10054" w:type="dxa"/>
          </w:tcPr>
          <w:p>
            <w:pPr>
              <w:pStyle w:val="7"/>
              <w:spacing w:line="400" w:lineRule="exact"/>
              <w:rPr>
                <w:color w:val="auto"/>
                <w:sz w:val="21"/>
                <w:szCs w:val="21"/>
                <w:highlight w:val="none"/>
              </w:rPr>
            </w:pPr>
            <w:r>
              <w:rPr>
                <w:rFonts w:hint="eastAsia"/>
                <w:color w:val="auto"/>
                <w:kern w:val="2"/>
                <w:sz w:val="21"/>
                <w:szCs w:val="21"/>
                <w:highlight w:val="none"/>
              </w:rPr>
              <w:t>--《</w:t>
            </w:r>
            <w:r>
              <w:rPr>
                <w:rFonts w:hint="eastAsia" w:ascii="宋体" w:hAnsi="宋体" w:cs="宋体"/>
                <w:color w:val="auto"/>
                <w:kern w:val="0"/>
                <w:sz w:val="21"/>
                <w:szCs w:val="21"/>
                <w:highlight w:val="none"/>
              </w:rPr>
              <w:t>协商、沟通和信息交流控制程序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7"/>
              <w:spacing w:line="400" w:lineRule="exact"/>
              <w:rPr>
                <w:color w:val="auto"/>
                <w:kern w:val="2"/>
                <w:sz w:val="21"/>
                <w:szCs w:val="21"/>
                <w:highlight w:val="none"/>
              </w:rPr>
            </w:pPr>
            <w:r>
              <w:rPr>
                <w:rFonts w:hint="eastAsia"/>
                <w:color w:val="auto"/>
                <w:kern w:val="2"/>
                <w:sz w:val="21"/>
                <w:szCs w:val="21"/>
                <w:highlight w:val="none"/>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外部交流主要通过销售合同及电话、信函等方式进行。</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查见：与顾客沟通信息：</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1、与</w:t>
            </w:r>
            <w:r>
              <w:rPr>
                <w:rFonts w:hint="eastAsia" w:ascii="宋体" w:hAnsi="宋体" w:cs="宋体"/>
                <w:color w:val="auto"/>
                <w:sz w:val="21"/>
                <w:szCs w:val="21"/>
                <w:highlight w:val="none"/>
                <w:lang w:val="en-US" w:eastAsia="zh-CN"/>
              </w:rPr>
              <w:t>顺丰速运重庆有限公司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val="en-US" w:eastAsia="zh-CN"/>
              </w:rPr>
              <w:t>可折叠围板（</w:t>
            </w:r>
            <w:r>
              <w:rPr>
                <w:color w:val="auto"/>
                <w:sz w:val="21"/>
                <w:szCs w:val="21"/>
                <w:highlight w:val="none"/>
              </w:rPr>
              <w:t>纸制品</w:t>
            </w:r>
            <w:r>
              <w:rPr>
                <w:rFonts w:hint="eastAsia"/>
                <w:color w:val="auto"/>
                <w:sz w:val="21"/>
                <w:szCs w:val="21"/>
                <w:highlight w:val="none"/>
                <w:lang w:eastAsia="zh-CN"/>
              </w:rPr>
              <w:t>）</w:t>
            </w:r>
            <w:r>
              <w:rPr>
                <w:rFonts w:hint="eastAsia" w:ascii="宋体" w:hAnsi="宋体" w:cs="宋体"/>
                <w:color w:val="auto"/>
                <w:sz w:val="21"/>
                <w:szCs w:val="21"/>
                <w:highlight w:val="none"/>
              </w:rPr>
              <w:t>销售合同。</w:t>
            </w:r>
          </w:p>
          <w:p>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合同标的物、交付及运输；验收</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售后服务；合同价格；</w:t>
            </w:r>
            <w:r>
              <w:rPr>
                <w:rFonts w:hint="eastAsia" w:ascii="宋体" w:hAnsi="宋体" w:cs="宋体"/>
                <w:color w:val="auto"/>
                <w:sz w:val="21"/>
                <w:szCs w:val="21"/>
                <w:highlight w:val="none"/>
              </w:rPr>
              <w:t>包装物的供应及回收（包装不回收）；违约责任等要求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2、与</w:t>
            </w:r>
            <w:r>
              <w:rPr>
                <w:rFonts w:hint="eastAsia" w:ascii="宋体" w:hAnsi="宋体" w:cs="宋体"/>
                <w:color w:val="auto"/>
                <w:sz w:val="21"/>
                <w:szCs w:val="21"/>
                <w:highlight w:val="none"/>
                <w:lang w:val="en-US" w:eastAsia="zh-CN"/>
              </w:rPr>
              <w:t>重庆联耀电子有限公司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val="en-US" w:eastAsia="zh-CN"/>
              </w:rPr>
              <w:t>緾绕膜（</w:t>
            </w:r>
            <w:r>
              <w:rPr>
                <w:color w:val="auto"/>
                <w:sz w:val="21"/>
                <w:szCs w:val="21"/>
                <w:highlight w:val="none"/>
              </w:rPr>
              <w:t>塑胶制品</w:t>
            </w:r>
            <w:r>
              <w:rPr>
                <w:rFonts w:hint="eastAsia"/>
                <w:color w:val="auto"/>
                <w:sz w:val="21"/>
                <w:szCs w:val="21"/>
                <w:highlight w:val="none"/>
                <w:lang w:eastAsia="zh-CN"/>
              </w:rPr>
              <w:t>）</w:t>
            </w:r>
            <w:r>
              <w:rPr>
                <w:rFonts w:hint="eastAsia" w:ascii="宋体" w:hAnsi="宋体" w:cs="宋体"/>
                <w:color w:val="auto"/>
                <w:sz w:val="21"/>
                <w:szCs w:val="21"/>
                <w:highlight w:val="none"/>
              </w:rPr>
              <w:t>销售合同。</w:t>
            </w:r>
          </w:p>
          <w:p>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产品名称、规格型号、数量、单价；付款方式；交货地址；售后服务</w:t>
            </w:r>
            <w:r>
              <w:rPr>
                <w:rFonts w:hint="eastAsia" w:ascii="宋体" w:hAnsi="宋体" w:cs="宋体"/>
                <w:color w:val="auto"/>
                <w:sz w:val="21"/>
                <w:szCs w:val="21"/>
                <w:highlight w:val="none"/>
              </w:rPr>
              <w:t>；违约责任等要求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3、与</w:t>
            </w:r>
            <w:r>
              <w:rPr>
                <w:rFonts w:hint="eastAsia" w:ascii="宋体" w:hAnsi="宋体" w:cs="宋体"/>
                <w:color w:val="auto"/>
                <w:sz w:val="21"/>
                <w:szCs w:val="21"/>
                <w:highlight w:val="none"/>
                <w:lang w:val="en-US" w:eastAsia="zh-CN"/>
              </w:rPr>
              <w:t>重庆朝能美路科技发展有限公司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val="en-US" w:eastAsia="zh-CN"/>
              </w:rPr>
              <w:t>机柜木箱、探头木箱、平台电控木箱（</w:t>
            </w:r>
            <w:r>
              <w:rPr>
                <w:color w:val="auto"/>
                <w:sz w:val="21"/>
                <w:szCs w:val="21"/>
                <w:highlight w:val="none"/>
              </w:rPr>
              <w:t>木制品</w:t>
            </w:r>
            <w:r>
              <w:rPr>
                <w:rFonts w:hint="eastAsia"/>
                <w:color w:val="auto"/>
                <w:sz w:val="21"/>
                <w:szCs w:val="21"/>
                <w:highlight w:val="none"/>
                <w:lang w:eastAsia="zh-CN"/>
              </w:rPr>
              <w:t>）</w:t>
            </w:r>
            <w:r>
              <w:rPr>
                <w:rFonts w:hint="eastAsia" w:ascii="宋体" w:hAnsi="宋体" w:cs="宋体"/>
                <w:color w:val="auto"/>
                <w:sz w:val="21"/>
                <w:szCs w:val="21"/>
                <w:highlight w:val="none"/>
              </w:rPr>
              <w:t>销售合同。</w:t>
            </w:r>
          </w:p>
          <w:p>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产品名称、规格型号、数量、单价；付款与结算；运输与包装；交付与验收；技术支持与售后；合同解除与违约责任</w:t>
            </w:r>
            <w:r>
              <w:rPr>
                <w:rFonts w:hint="eastAsia" w:ascii="宋体" w:hAnsi="宋体" w:cs="宋体"/>
                <w:color w:val="auto"/>
                <w:sz w:val="21"/>
                <w:szCs w:val="21"/>
                <w:highlight w:val="none"/>
              </w:rPr>
              <w:t>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、与</w:t>
            </w:r>
            <w:r>
              <w:rPr>
                <w:rFonts w:hint="eastAsia" w:ascii="宋体" w:hAnsi="宋体" w:cs="宋体"/>
                <w:color w:val="auto"/>
                <w:sz w:val="21"/>
                <w:szCs w:val="21"/>
                <w:highlight w:val="none"/>
                <w:lang w:val="en-US" w:eastAsia="zh-CN"/>
              </w:rPr>
              <w:t>重庆禾秸包装制品有限公司</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日签定的</w:t>
            </w:r>
            <w:r>
              <w:rPr>
                <w:rFonts w:hint="eastAsia" w:ascii="宋体" w:hAnsi="宋体" w:cs="宋体"/>
                <w:color w:val="auto"/>
                <w:sz w:val="21"/>
                <w:szCs w:val="21"/>
                <w:highlight w:val="none"/>
                <w:lang w:val="en-US" w:eastAsia="zh-CN"/>
              </w:rPr>
              <w:t>钢带（</w:t>
            </w:r>
            <w:r>
              <w:rPr>
                <w:color w:val="auto"/>
                <w:sz w:val="21"/>
                <w:szCs w:val="21"/>
                <w:highlight w:val="none"/>
              </w:rPr>
              <w:t>金属制品</w:t>
            </w:r>
            <w:r>
              <w:rPr>
                <w:rFonts w:hint="eastAsia"/>
                <w:color w:val="auto"/>
                <w:sz w:val="21"/>
                <w:szCs w:val="21"/>
                <w:highlight w:val="none"/>
                <w:lang w:eastAsia="zh-CN"/>
              </w:rPr>
              <w:t>）</w:t>
            </w:r>
            <w:r>
              <w:rPr>
                <w:rFonts w:hint="eastAsia" w:ascii="宋体" w:hAnsi="宋体" w:cs="宋体"/>
                <w:color w:val="auto"/>
                <w:sz w:val="21"/>
                <w:szCs w:val="21"/>
                <w:highlight w:val="none"/>
              </w:rPr>
              <w:t>销售合同。</w:t>
            </w:r>
          </w:p>
          <w:p>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合同内容：</w:t>
            </w:r>
            <w:r>
              <w:rPr>
                <w:rFonts w:hint="eastAsia" w:ascii="宋体" w:hAnsi="宋体" w:cs="宋体"/>
                <w:color w:val="auto"/>
                <w:sz w:val="21"/>
                <w:szCs w:val="21"/>
                <w:highlight w:val="none"/>
                <w:lang w:val="en-US" w:eastAsia="zh-CN"/>
              </w:rPr>
              <w:t>产品名称、规格型号、数量、单价；交（提）货时间、地点、方式；技术要求、包装标准；付款方式与期限；违约责任</w:t>
            </w:r>
            <w:r>
              <w:rPr>
                <w:rFonts w:hint="eastAsia" w:ascii="宋体" w:hAnsi="宋体" w:cs="宋体"/>
                <w:color w:val="auto"/>
                <w:sz w:val="21"/>
                <w:szCs w:val="21"/>
                <w:highlight w:val="none"/>
              </w:rPr>
              <w:t>等要求</w:t>
            </w:r>
            <w:r>
              <w:rPr>
                <w:rFonts w:hint="eastAsia" w:ascii="宋体" w:hAnsi="宋体" w:cs="宋体"/>
                <w:color w:val="auto"/>
                <w:sz w:val="21"/>
                <w:szCs w:val="21"/>
                <w:highlight w:val="none"/>
                <w:lang w:eastAsia="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p>
            <w:pPr>
              <w:pStyle w:val="7"/>
              <w:spacing w:line="400" w:lineRule="exact"/>
              <w:ind w:firstLine="210" w:firstLineChars="100"/>
              <w:rPr>
                <w:color w:val="auto"/>
                <w:sz w:val="21"/>
                <w:szCs w:val="21"/>
                <w:highlight w:val="none"/>
              </w:rPr>
            </w:pPr>
            <w:r>
              <w:rPr>
                <w:rFonts w:hint="eastAsia"/>
                <w:color w:val="auto"/>
                <w:kern w:val="2"/>
                <w:sz w:val="21"/>
                <w:szCs w:val="21"/>
                <w:highlight w:val="none"/>
              </w:rPr>
              <w:t>部门</w:t>
            </w:r>
            <w:r>
              <w:rPr>
                <w:rFonts w:hint="eastAsia"/>
                <w:color w:val="auto"/>
                <w:kern w:val="2"/>
                <w:sz w:val="21"/>
                <w:szCs w:val="21"/>
                <w:highlight w:val="none"/>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查见：公司内部会议记录表，沟通信息包括：</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1）告知员工：环境管理者代表是</w:t>
            </w:r>
            <w:r>
              <w:rPr>
                <w:rFonts w:hint="eastAsia" w:ascii="宋体" w:hAnsi="宋体" w:cs="Arial"/>
                <w:color w:val="auto"/>
                <w:sz w:val="21"/>
                <w:szCs w:val="21"/>
                <w:highlight w:val="none"/>
                <w:lang w:val="en-US" w:eastAsia="zh-CN"/>
              </w:rPr>
              <w:t>毛丹丹</w:t>
            </w:r>
            <w:r>
              <w:rPr>
                <w:rFonts w:hint="eastAsia" w:ascii="宋体" w:hAnsi="宋体" w:cs="Arial"/>
                <w:color w:val="auto"/>
                <w:sz w:val="21"/>
                <w:szCs w:val="21"/>
                <w:highlight w:val="none"/>
              </w:rPr>
              <w:t>。</w:t>
            </w:r>
          </w:p>
          <w:p>
            <w:pPr>
              <w:widowControl/>
              <w:spacing w:line="400" w:lineRule="atLeast"/>
              <w:ind w:firstLine="315" w:firstLineChars="150"/>
              <w:rPr>
                <w:rFonts w:ascii="宋体" w:hAnsi="宋体" w:cs="Arial"/>
                <w:color w:val="auto"/>
                <w:sz w:val="21"/>
                <w:szCs w:val="21"/>
                <w:highlight w:val="none"/>
              </w:rPr>
            </w:pPr>
            <w:r>
              <w:rPr>
                <w:rFonts w:hint="eastAsia" w:ascii="宋体" w:hAnsi="宋体" w:cs="Arial"/>
                <w:color w:val="auto"/>
                <w:sz w:val="21"/>
                <w:szCs w:val="21"/>
                <w:highlight w:val="none"/>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color w:val="auto"/>
                <w:sz w:val="21"/>
                <w:szCs w:val="21"/>
                <w:highlight w:val="none"/>
              </w:rPr>
            </w:pPr>
            <w:r>
              <w:rPr>
                <w:rFonts w:hint="eastAsia" w:ascii="宋体" w:hAnsi="宋体" w:cs="Arial"/>
                <w:color w:val="auto"/>
                <w:sz w:val="21"/>
                <w:szCs w:val="21"/>
                <w:highlight w:val="none"/>
              </w:rPr>
              <w:t>3）将公司环境管理要求和意义作为新员工岗前培训内容。</w:t>
            </w:r>
          </w:p>
        </w:tc>
        <w:tc>
          <w:tcPr>
            <w:tcW w:w="1535" w:type="dxa"/>
          </w:tcPr>
          <w:p>
            <w:pPr>
              <w:rPr>
                <w:color w:val="auto"/>
                <w:sz w:val="21"/>
                <w:szCs w:val="21"/>
                <w:highlight w:val="none"/>
              </w:rPr>
            </w:pPr>
            <w:r>
              <w:rPr>
                <w:rFonts w:hint="eastAsia"/>
                <w:color w:val="auto"/>
                <w:sz w:val="21"/>
                <w:szCs w:val="21"/>
                <w:highlight w:val="none"/>
              </w:rPr>
              <w:t>符合</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adjustRightInd w:val="0"/>
              <w:snapToGrid w:val="0"/>
              <w:jc w:val="center"/>
              <w:rPr>
                <w:rFonts w:ascii="宋体" w:hAnsi="宋体" w:cs="新宋体"/>
                <w:color w:val="auto"/>
                <w:sz w:val="21"/>
                <w:szCs w:val="21"/>
                <w:highlight w:val="none"/>
              </w:rPr>
            </w:pPr>
            <w:r>
              <w:rPr>
                <w:rFonts w:hint="eastAsia" w:ascii="宋体" w:hAnsi="宋体" w:cs="新宋体"/>
                <w:color w:val="auto"/>
                <w:sz w:val="21"/>
                <w:szCs w:val="21"/>
                <w:highlight w:val="none"/>
              </w:rPr>
              <w:t>运行策划和控制</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E8.1 </w:t>
            </w:r>
          </w:p>
        </w:tc>
        <w:tc>
          <w:tcPr>
            <w:tcW w:w="10054" w:type="dxa"/>
          </w:tcPr>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w:t>
            </w:r>
            <w:r>
              <w:rPr>
                <w:rFonts w:hint="eastAsia"/>
                <w:color w:val="auto"/>
                <w:sz w:val="21"/>
                <w:szCs w:val="21"/>
                <w:highlight w:val="none"/>
                <w:lang w:eastAsia="zh-CN"/>
              </w:rPr>
              <w:t>市场部</w:t>
            </w:r>
            <w:r>
              <w:rPr>
                <w:rFonts w:hint="eastAsia"/>
                <w:color w:val="auto"/>
                <w:sz w:val="21"/>
                <w:szCs w:val="21"/>
                <w:highlight w:val="none"/>
              </w:rPr>
              <w:t>实施以下环境安全管理制度：《运行控制程序》、《节约用电用水管理制度》、《固体废弃物管理制度》《消防安全管理制度》、《用电安全管理规定》等。</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w:t>
            </w:r>
            <w:r>
              <w:rPr>
                <w:rFonts w:hint="eastAsia"/>
                <w:color w:val="auto"/>
                <w:sz w:val="21"/>
                <w:szCs w:val="21"/>
                <w:highlight w:val="none"/>
                <w:lang w:val="en-US" w:eastAsia="zh-CN"/>
              </w:rPr>
              <w:t>市场部</w:t>
            </w:r>
            <w:r>
              <w:rPr>
                <w:rFonts w:hint="eastAsia"/>
                <w:color w:val="auto"/>
                <w:sz w:val="21"/>
                <w:szCs w:val="21"/>
                <w:highlight w:val="none"/>
              </w:rPr>
              <w:t>重要环境因素</w:t>
            </w:r>
            <w:r>
              <w:rPr>
                <w:rFonts w:hint="eastAsia"/>
                <w:color w:val="auto"/>
                <w:sz w:val="21"/>
                <w:szCs w:val="21"/>
                <w:highlight w:val="none"/>
                <w:lang w:val="en-US" w:eastAsia="zh-CN"/>
              </w:rPr>
              <w:t>为</w:t>
            </w: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潜在火灾；</w:t>
            </w:r>
            <w:r>
              <w:rPr>
                <w:rFonts w:hint="eastAsia"/>
                <w:color w:val="auto"/>
                <w:sz w:val="21"/>
                <w:szCs w:val="21"/>
                <w:highlight w:val="none"/>
                <w:lang w:val="en-US" w:eastAsia="zh-CN"/>
              </w:rPr>
              <w:t>2）</w:t>
            </w:r>
            <w:r>
              <w:rPr>
                <w:rFonts w:hint="eastAsia"/>
                <w:color w:val="auto"/>
                <w:sz w:val="21"/>
                <w:szCs w:val="21"/>
                <w:highlight w:val="none"/>
              </w:rPr>
              <w:t>固废排放；</w:t>
            </w:r>
          </w:p>
          <w:p>
            <w:pPr>
              <w:keepNext w:val="0"/>
              <w:keepLines w:val="0"/>
              <w:pageBreakBefore w:val="0"/>
              <w:widowControl w:val="0"/>
              <w:kinsoku/>
              <w:wordWrap/>
              <w:overflowPunct/>
              <w:topLinePunct w:val="0"/>
              <w:bidi w:val="0"/>
              <w:snapToGrid/>
              <w:spacing w:line="312" w:lineRule="auto"/>
              <w:ind w:left="360"/>
              <w:jc w:val="left"/>
              <w:textAlignment w:val="auto"/>
              <w:rPr>
                <w:color w:val="auto"/>
                <w:sz w:val="21"/>
                <w:szCs w:val="21"/>
                <w:highlight w:val="none"/>
              </w:rPr>
            </w:pPr>
            <w:r>
              <w:rPr>
                <w:rFonts w:hint="eastAsia"/>
                <w:color w:val="auto"/>
                <w:sz w:val="21"/>
                <w:szCs w:val="21"/>
                <w:highlight w:val="none"/>
              </w:rPr>
              <w:t>查看，公司制订的相应的管理制度及管理方案，对重要环境因素进行管控。</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查，办公现场张贴有“请勿吸烟”标识。</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lang w:eastAsia="zh-CN"/>
              </w:rPr>
              <w:t>现场</w:t>
            </w:r>
            <w:r>
              <w:rPr>
                <w:rFonts w:hint="eastAsia"/>
                <w:color w:val="auto"/>
                <w:sz w:val="21"/>
                <w:szCs w:val="21"/>
                <w:highlight w:val="none"/>
              </w:rPr>
              <w:t>查看：现场未发现大功率电器使用。</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lang w:eastAsia="zh-CN"/>
              </w:rPr>
              <w:t>现场</w:t>
            </w:r>
            <w:r>
              <w:rPr>
                <w:rFonts w:hint="eastAsia"/>
                <w:color w:val="auto"/>
                <w:sz w:val="21"/>
                <w:szCs w:val="21"/>
                <w:highlight w:val="none"/>
              </w:rPr>
              <w:t>查看：查见办公等服务性一般固废有处理，现场有固废收集装置。</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rPr>
              <w:t>查看：查见定期对办公区域的消防、用电设施进行检查，消除火灾隐患。</w:t>
            </w:r>
          </w:p>
          <w:p>
            <w:pPr>
              <w:keepNext w:val="0"/>
              <w:keepLines w:val="0"/>
              <w:pageBreakBefore w:val="0"/>
              <w:widowControl w:val="0"/>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lang w:val="en-US" w:eastAsia="zh-CN"/>
              </w:rPr>
              <w:t>查</w:t>
            </w:r>
            <w:r>
              <w:rPr>
                <w:rFonts w:hint="eastAsia"/>
                <w:color w:val="auto"/>
                <w:sz w:val="21"/>
                <w:szCs w:val="21"/>
                <w:highlight w:val="none"/>
              </w:rPr>
              <w:t>销售过程管理：</w:t>
            </w:r>
          </w:p>
          <w:p>
            <w:pPr>
              <w:keepNext w:val="0"/>
              <w:keepLines w:val="0"/>
              <w:pageBreakBefore w:val="0"/>
              <w:widowControl w:val="0"/>
              <w:numPr>
                <w:ilvl w:val="0"/>
                <w:numId w:val="5"/>
              </w:numPr>
              <w:kinsoku/>
              <w:wordWrap/>
              <w:overflowPunct/>
              <w:topLinePunct w:val="0"/>
              <w:bidi w:val="0"/>
              <w:snapToGrid/>
              <w:spacing w:line="312" w:lineRule="auto"/>
              <w:textAlignment w:val="auto"/>
              <w:rPr>
                <w:rFonts w:hint="eastAsia"/>
                <w:color w:val="auto"/>
                <w:sz w:val="21"/>
                <w:szCs w:val="21"/>
                <w:highlight w:val="none"/>
              </w:rPr>
            </w:pPr>
            <w:r>
              <w:rPr>
                <w:rFonts w:hint="eastAsia"/>
                <w:color w:val="auto"/>
                <w:sz w:val="21"/>
                <w:szCs w:val="21"/>
                <w:highlight w:val="none"/>
              </w:rPr>
              <w:t>废弃物管理：运输过程与物流方签订协议，明确</w:t>
            </w:r>
            <w:r>
              <w:rPr>
                <w:rFonts w:hint="eastAsia"/>
                <w:color w:val="auto"/>
                <w:sz w:val="21"/>
                <w:szCs w:val="21"/>
                <w:highlight w:val="none"/>
                <w:lang w:val="en-US" w:eastAsia="zh-CN"/>
              </w:rPr>
              <w:t>环保责任</w:t>
            </w:r>
            <w:r>
              <w:rPr>
                <w:rFonts w:hint="eastAsia"/>
                <w:color w:val="auto"/>
                <w:sz w:val="21"/>
                <w:szCs w:val="21"/>
                <w:highlight w:val="none"/>
              </w:rPr>
              <w:t>，严禁</w:t>
            </w:r>
            <w:r>
              <w:rPr>
                <w:rFonts w:hint="eastAsia"/>
                <w:color w:val="auto"/>
                <w:sz w:val="21"/>
                <w:szCs w:val="21"/>
                <w:highlight w:val="none"/>
                <w:lang w:val="en-US" w:eastAsia="zh-CN"/>
              </w:rPr>
              <w:t>随意丢弃包装物品</w:t>
            </w:r>
            <w:r>
              <w:rPr>
                <w:rFonts w:hint="eastAsia"/>
                <w:color w:val="auto"/>
                <w:sz w:val="21"/>
                <w:szCs w:val="21"/>
                <w:highlight w:val="none"/>
              </w:rPr>
              <w:t>；</w:t>
            </w:r>
          </w:p>
          <w:p>
            <w:pPr>
              <w:keepNext w:val="0"/>
              <w:keepLines w:val="0"/>
              <w:pageBreakBefore w:val="0"/>
              <w:widowControl w:val="0"/>
              <w:numPr>
                <w:ilvl w:val="0"/>
                <w:numId w:val="5"/>
              </w:numPr>
              <w:kinsoku/>
              <w:wordWrap/>
              <w:overflowPunct/>
              <w:topLinePunct w:val="0"/>
              <w:bidi w:val="0"/>
              <w:snapToGrid/>
              <w:spacing w:line="312" w:lineRule="auto"/>
              <w:ind w:left="0" w:leftChars="0" w:firstLine="0" w:firstLineChars="0"/>
              <w:textAlignment w:val="auto"/>
              <w:rPr>
                <w:rFonts w:hint="eastAsia"/>
                <w:color w:val="auto"/>
                <w:sz w:val="21"/>
                <w:szCs w:val="21"/>
                <w:highlight w:val="none"/>
                <w:lang w:eastAsia="zh-CN"/>
              </w:rPr>
            </w:pPr>
            <w:r>
              <w:rPr>
                <w:rFonts w:hint="eastAsia"/>
                <w:color w:val="auto"/>
                <w:sz w:val="21"/>
                <w:szCs w:val="21"/>
                <w:highlight w:val="none"/>
              </w:rPr>
              <w:t>相关方告知管理：告知客户，产品的材质性质，以及不合格或报废产品的处理方式</w:t>
            </w:r>
            <w:r>
              <w:rPr>
                <w:rFonts w:hint="eastAsia"/>
                <w:color w:val="auto"/>
                <w:sz w:val="21"/>
                <w:szCs w:val="21"/>
                <w:highlight w:val="none"/>
                <w:lang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查库房管理：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公司设有销售产品库房1间，面积1</w:t>
            </w:r>
            <w:r>
              <w:rPr>
                <w:rFonts w:hint="eastAsia" w:ascii="Times New Roman" w:hAnsi="Times New Roman"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00平方米左右，</w:t>
            </w:r>
            <w:r>
              <w:rPr>
                <w:rFonts w:hint="eastAsia" w:ascii="Times New Roman" w:hAnsi="Times New Roman" w:cs="Times New Roman"/>
                <w:color w:val="auto"/>
                <w:kern w:val="2"/>
                <w:sz w:val="21"/>
                <w:szCs w:val="21"/>
                <w:highlight w:val="none"/>
                <w:lang w:val="en-US" w:eastAsia="zh-CN" w:bidi="ar-SA"/>
              </w:rPr>
              <w:t>存放的产品以木制品、纸制品、</w:t>
            </w:r>
            <w:r>
              <w:rPr>
                <w:color w:val="auto"/>
                <w:sz w:val="21"/>
                <w:szCs w:val="21"/>
                <w:highlight w:val="none"/>
              </w:rPr>
              <w:t>塑胶制品</w:t>
            </w:r>
            <w:r>
              <w:rPr>
                <w:rFonts w:hint="eastAsia"/>
                <w:color w:val="auto"/>
                <w:sz w:val="21"/>
                <w:szCs w:val="21"/>
                <w:highlight w:val="none"/>
                <w:lang w:val="en-US" w:eastAsia="zh-CN"/>
              </w:rPr>
              <w:t>为主，销售产品按分区存放，现场查看销售产品存放有序，基本符合要求。</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drawing>
                <wp:anchor distT="0" distB="0" distL="114300" distR="114300" simplePos="0" relativeHeight="251660288" behindDoc="0" locked="0" layoutInCell="1" allowOverlap="1">
                  <wp:simplePos x="0" y="0"/>
                  <wp:positionH relativeFrom="column">
                    <wp:posOffset>3769995</wp:posOffset>
                  </wp:positionH>
                  <wp:positionV relativeFrom="paragraph">
                    <wp:posOffset>95885</wp:posOffset>
                  </wp:positionV>
                  <wp:extent cx="2087245" cy="2498090"/>
                  <wp:effectExtent l="0" t="0" r="8255" b="3810"/>
                  <wp:wrapNone/>
                  <wp:docPr id="6" name="图片 6" descr="0fd921d153908e34b09a5190e8ad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fd921d153908e34b09a5190e8ad4ee"/>
                          <pic:cNvPicPr>
                            <a:picLocks noChangeAspect="1"/>
                          </pic:cNvPicPr>
                        </pic:nvPicPr>
                        <pic:blipFill>
                          <a:blip r:embed="rId6"/>
                          <a:stretch>
                            <a:fillRect/>
                          </a:stretch>
                        </pic:blipFill>
                        <pic:spPr>
                          <a:xfrm>
                            <a:off x="0" y="0"/>
                            <a:ext cx="2087245" cy="2498090"/>
                          </a:xfrm>
                          <a:prstGeom prst="rect">
                            <a:avLst/>
                          </a:prstGeom>
                        </pic:spPr>
                      </pic:pic>
                    </a:graphicData>
                  </a:graphic>
                </wp:anchor>
              </w:drawing>
            </w:r>
            <w:r>
              <w:rPr>
                <w:rFonts w:hint="eastAsia"/>
                <w:color w:val="auto"/>
                <w:sz w:val="21"/>
                <w:szCs w:val="21"/>
                <w:highlight w:val="none"/>
                <w:lang w:val="en-US" w:eastAsia="zh-CN"/>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146050</wp:posOffset>
                  </wp:positionV>
                  <wp:extent cx="3307715" cy="2482215"/>
                  <wp:effectExtent l="0" t="0" r="6985" b="6985"/>
                  <wp:wrapNone/>
                  <wp:docPr id="5" name="图片 5" descr="712f6c1cdd8bd9948afb549dd332a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12f6c1cdd8bd9948afb549dd332a62"/>
                          <pic:cNvPicPr>
                            <a:picLocks noChangeAspect="1"/>
                          </pic:cNvPicPr>
                        </pic:nvPicPr>
                        <pic:blipFill>
                          <a:blip r:embed="rId7"/>
                          <a:stretch>
                            <a:fillRect/>
                          </a:stretch>
                        </pic:blipFill>
                        <pic:spPr>
                          <a:xfrm>
                            <a:off x="0" y="0"/>
                            <a:ext cx="3307715" cy="2482215"/>
                          </a:xfrm>
                          <a:prstGeom prst="rect">
                            <a:avLst/>
                          </a:prstGeom>
                        </pic:spPr>
                      </pic:pic>
                    </a:graphicData>
                  </a:graphic>
                </wp:anchor>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drawing>
                <wp:anchor distT="0" distB="0" distL="114300" distR="114300" simplePos="0" relativeHeight="251664384" behindDoc="0" locked="0" layoutInCell="1" allowOverlap="1">
                  <wp:simplePos x="0" y="0"/>
                  <wp:positionH relativeFrom="column">
                    <wp:posOffset>3171825</wp:posOffset>
                  </wp:positionH>
                  <wp:positionV relativeFrom="paragraph">
                    <wp:posOffset>226695</wp:posOffset>
                  </wp:positionV>
                  <wp:extent cx="2127250" cy="2216785"/>
                  <wp:effectExtent l="0" t="0" r="6350" b="5715"/>
                  <wp:wrapNone/>
                  <wp:docPr id="10" name="图片 10" descr="fac8cdd34b08812ad9f29d724607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ac8cdd34b08812ad9f29d724607dd8"/>
                          <pic:cNvPicPr>
                            <a:picLocks noChangeAspect="1"/>
                          </pic:cNvPicPr>
                        </pic:nvPicPr>
                        <pic:blipFill>
                          <a:blip r:embed="rId8"/>
                          <a:srcRect t="10533" b="11311"/>
                          <a:stretch>
                            <a:fillRect/>
                          </a:stretch>
                        </pic:blipFill>
                        <pic:spPr>
                          <a:xfrm>
                            <a:off x="0" y="0"/>
                            <a:ext cx="2127250" cy="2216785"/>
                          </a:xfrm>
                          <a:prstGeom prst="rect">
                            <a:avLst/>
                          </a:prstGeom>
                        </pic:spPr>
                      </pic:pic>
                    </a:graphicData>
                  </a:graphic>
                </wp:anchor>
              </w:drawing>
            </w:r>
            <w:r>
              <w:rPr>
                <w:rFonts w:hint="eastAsia"/>
                <w:color w:val="auto"/>
                <w:sz w:val="21"/>
                <w:szCs w:val="21"/>
                <w:highlight w:val="none"/>
                <w:lang w:val="en-US" w:eastAsia="zh-CN"/>
              </w:rPr>
              <w:drawing>
                <wp:anchor distT="0" distB="0" distL="114300" distR="114300" simplePos="0" relativeHeight="251663360" behindDoc="0" locked="0" layoutInCell="1" allowOverlap="1">
                  <wp:simplePos x="0" y="0"/>
                  <wp:positionH relativeFrom="column">
                    <wp:posOffset>297180</wp:posOffset>
                  </wp:positionH>
                  <wp:positionV relativeFrom="paragraph">
                    <wp:posOffset>208280</wp:posOffset>
                  </wp:positionV>
                  <wp:extent cx="2581910" cy="2268220"/>
                  <wp:effectExtent l="0" t="0" r="8890" b="5080"/>
                  <wp:wrapNone/>
                  <wp:docPr id="9" name="图片 9" descr="dc8449b4b3f861007b48a2af1c037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8449b4b3f861007b48a2af1c0376d"/>
                          <pic:cNvPicPr>
                            <a:picLocks noChangeAspect="1"/>
                          </pic:cNvPicPr>
                        </pic:nvPicPr>
                        <pic:blipFill>
                          <a:blip r:embed="rId9"/>
                          <a:srcRect t="22236"/>
                          <a:stretch>
                            <a:fillRect/>
                          </a:stretch>
                        </pic:blipFill>
                        <pic:spPr>
                          <a:xfrm>
                            <a:off x="0" y="0"/>
                            <a:ext cx="2581910" cy="2268220"/>
                          </a:xfrm>
                          <a:prstGeom prst="rect">
                            <a:avLst/>
                          </a:prstGeom>
                        </pic:spPr>
                      </pic:pic>
                    </a:graphicData>
                  </a:graphic>
                </wp:anchor>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产品销售库房按规定配置有一定数量灭火器材，灭火器材无遮挡，使用方便。并按期进行了点检。</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drawing>
                <wp:anchor distT="0" distB="0" distL="114300" distR="114300" simplePos="0" relativeHeight="251662336" behindDoc="0" locked="0" layoutInCell="1" allowOverlap="1">
                  <wp:simplePos x="0" y="0"/>
                  <wp:positionH relativeFrom="column">
                    <wp:posOffset>3593465</wp:posOffset>
                  </wp:positionH>
                  <wp:positionV relativeFrom="paragraph">
                    <wp:posOffset>27940</wp:posOffset>
                  </wp:positionV>
                  <wp:extent cx="2087880" cy="2571115"/>
                  <wp:effectExtent l="0" t="0" r="7620" b="6985"/>
                  <wp:wrapNone/>
                  <wp:docPr id="8" name="图片 8" descr="a9f9cfc99551bb74ed5e257551a4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9f9cfc99551bb74ed5e257551a4ea5"/>
                          <pic:cNvPicPr>
                            <a:picLocks noChangeAspect="1"/>
                          </pic:cNvPicPr>
                        </pic:nvPicPr>
                        <pic:blipFill>
                          <a:blip r:embed="rId10"/>
                          <a:srcRect b="7679"/>
                          <a:stretch>
                            <a:fillRect/>
                          </a:stretch>
                        </pic:blipFill>
                        <pic:spPr>
                          <a:xfrm>
                            <a:off x="0" y="0"/>
                            <a:ext cx="2087880" cy="2571115"/>
                          </a:xfrm>
                          <a:prstGeom prst="rect">
                            <a:avLst/>
                          </a:prstGeom>
                        </pic:spPr>
                      </pic:pic>
                    </a:graphicData>
                  </a:graphic>
                </wp:anchor>
              </w:drawing>
            </w:r>
            <w:r>
              <w:rPr>
                <w:rFonts w:hint="eastAsia"/>
                <w:color w:val="auto"/>
                <w:sz w:val="21"/>
                <w:szCs w:val="21"/>
                <w:highlight w:val="none"/>
                <w:lang w:val="en-US" w:eastAsia="zh-CN"/>
              </w:rPr>
              <w:drawing>
                <wp:anchor distT="0" distB="0" distL="114300" distR="114300" simplePos="0" relativeHeight="251661312" behindDoc="0" locked="0" layoutInCell="1" allowOverlap="1">
                  <wp:simplePos x="0" y="0"/>
                  <wp:positionH relativeFrom="column">
                    <wp:posOffset>347980</wp:posOffset>
                  </wp:positionH>
                  <wp:positionV relativeFrom="paragraph">
                    <wp:posOffset>43815</wp:posOffset>
                  </wp:positionV>
                  <wp:extent cx="2426335" cy="2482215"/>
                  <wp:effectExtent l="0" t="0" r="12065" b="6985"/>
                  <wp:wrapNone/>
                  <wp:docPr id="7" name="图片 7" descr="d21150239ff457727fba5b2f5047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21150239ff457727fba5b2f5047d0e"/>
                          <pic:cNvPicPr>
                            <a:picLocks noChangeAspect="1"/>
                          </pic:cNvPicPr>
                        </pic:nvPicPr>
                        <pic:blipFill>
                          <a:blip r:embed="rId11"/>
                          <a:srcRect b="23302"/>
                          <a:stretch>
                            <a:fillRect/>
                          </a:stretch>
                        </pic:blipFill>
                        <pic:spPr>
                          <a:xfrm>
                            <a:off x="0" y="0"/>
                            <a:ext cx="2426335" cy="2482215"/>
                          </a:xfrm>
                          <a:prstGeom prst="rect">
                            <a:avLst/>
                          </a:prstGeom>
                        </pic:spPr>
                      </pic:pic>
                    </a:graphicData>
                  </a:graphic>
                </wp:anchor>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eastAsia"/>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default"/>
                <w:color w:val="auto"/>
                <w:sz w:val="21"/>
                <w:szCs w:val="21"/>
                <w:highlight w:val="none"/>
                <w:lang w:val="en-US" w:eastAsia="zh-CN"/>
              </w:rPr>
              <w:drawing>
                <wp:anchor distT="0" distB="0" distL="114300" distR="114300" simplePos="0" relativeHeight="251666432" behindDoc="0" locked="0" layoutInCell="1" allowOverlap="1">
                  <wp:simplePos x="0" y="0"/>
                  <wp:positionH relativeFrom="column">
                    <wp:posOffset>3239770</wp:posOffset>
                  </wp:positionH>
                  <wp:positionV relativeFrom="paragraph">
                    <wp:posOffset>118745</wp:posOffset>
                  </wp:positionV>
                  <wp:extent cx="2768600" cy="2182495"/>
                  <wp:effectExtent l="0" t="0" r="0" b="1905"/>
                  <wp:wrapNone/>
                  <wp:docPr id="2" name="图片 2" descr="4a52b8092b9f9167a63c445c4e9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52b8092b9f9167a63c445c4e92943"/>
                          <pic:cNvPicPr>
                            <a:picLocks noChangeAspect="1"/>
                          </pic:cNvPicPr>
                        </pic:nvPicPr>
                        <pic:blipFill>
                          <a:blip r:embed="rId12"/>
                          <a:srcRect t="21275" b="19589"/>
                          <a:stretch>
                            <a:fillRect/>
                          </a:stretch>
                        </pic:blipFill>
                        <pic:spPr>
                          <a:xfrm>
                            <a:off x="0" y="0"/>
                            <a:ext cx="2768600" cy="2182495"/>
                          </a:xfrm>
                          <a:prstGeom prst="rect">
                            <a:avLst/>
                          </a:prstGeom>
                        </pic:spPr>
                      </pic:pic>
                    </a:graphicData>
                  </a:graphic>
                </wp:anchor>
              </w:drawing>
            </w:r>
            <w:r>
              <w:rPr>
                <w:rFonts w:hint="default"/>
                <w:color w:val="auto"/>
                <w:sz w:val="21"/>
                <w:szCs w:val="21"/>
                <w:highlight w:val="none"/>
                <w:lang w:val="en-US" w:eastAsia="zh-CN"/>
              </w:rPr>
              <w:drawing>
                <wp:anchor distT="0" distB="0" distL="114300" distR="114300" simplePos="0" relativeHeight="251665408" behindDoc="0" locked="0" layoutInCell="1" allowOverlap="1">
                  <wp:simplePos x="0" y="0"/>
                  <wp:positionH relativeFrom="column">
                    <wp:posOffset>56515</wp:posOffset>
                  </wp:positionH>
                  <wp:positionV relativeFrom="paragraph">
                    <wp:posOffset>105410</wp:posOffset>
                  </wp:positionV>
                  <wp:extent cx="2839720" cy="2112645"/>
                  <wp:effectExtent l="0" t="0" r="5080" b="8255"/>
                  <wp:wrapNone/>
                  <wp:docPr id="1" name="图片 1" descr="148f1355d4319d20064617e8e8618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8f1355d4319d20064617e8e86185d"/>
                          <pic:cNvPicPr>
                            <a:picLocks noChangeAspect="1"/>
                          </pic:cNvPicPr>
                        </pic:nvPicPr>
                        <pic:blipFill>
                          <a:blip r:embed="rId13"/>
                          <a:srcRect t="21000" b="23197"/>
                          <a:stretch>
                            <a:fillRect/>
                          </a:stretch>
                        </pic:blipFill>
                        <pic:spPr>
                          <a:xfrm>
                            <a:off x="0" y="0"/>
                            <a:ext cx="2839720" cy="2112645"/>
                          </a:xfrm>
                          <a:prstGeom prst="rect">
                            <a:avLst/>
                          </a:prstGeom>
                        </pic:spPr>
                      </pic:pic>
                    </a:graphicData>
                  </a:graphic>
                </wp:anchor>
              </w:drawing>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12"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另查公司有一台叉车用于上下货，提供有年检报告，检查有效，详见附件。</w:t>
            </w:r>
          </w:p>
        </w:tc>
        <w:tc>
          <w:tcPr>
            <w:tcW w:w="1535" w:type="dxa"/>
          </w:tcPr>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r>
              <w:rPr>
                <w:rFonts w:hint="eastAsia"/>
                <w:color w:val="auto"/>
                <w:sz w:val="21"/>
                <w:szCs w:val="21"/>
                <w:highlight w:val="none"/>
              </w:rPr>
              <w:t>符合</w:t>
            </w:r>
          </w:p>
          <w:p>
            <w:pPr>
              <w:keepNext w:val="0"/>
              <w:keepLines w:val="0"/>
              <w:pageBreakBefore w:val="0"/>
              <w:widowControl w:val="0"/>
              <w:kinsoku/>
              <w:wordWrap/>
              <w:overflowPunct/>
              <w:topLinePunct w:val="0"/>
              <w:bidi w:val="0"/>
              <w:snapToGrid/>
              <w:spacing w:line="312" w:lineRule="auto"/>
              <w:textAlignment w:val="auto"/>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E8.2</w:t>
            </w:r>
          </w:p>
        </w:tc>
        <w:tc>
          <w:tcPr>
            <w:tcW w:w="10054" w:type="dxa"/>
          </w:tcPr>
          <w:p>
            <w:pPr>
              <w:spacing w:line="400" w:lineRule="atLeast"/>
              <w:ind w:firstLine="420" w:firstLineChars="200"/>
              <w:rPr>
                <w:color w:val="auto"/>
                <w:szCs w:val="21"/>
                <w:highlight w:val="none"/>
              </w:rPr>
            </w:pPr>
            <w:r>
              <w:rPr>
                <w:rFonts w:hint="eastAsia" w:cs="宋体"/>
                <w:color w:val="auto"/>
                <w:szCs w:val="21"/>
                <w:highlight w:val="none"/>
              </w:rPr>
              <w:t>查见：《</w:t>
            </w:r>
            <w:r>
              <w:rPr>
                <w:rFonts w:hint="eastAsia" w:ascii="宋体" w:hAnsi="宋体" w:cs="宋体"/>
                <w:color w:val="auto"/>
                <w:kern w:val="0"/>
                <w:szCs w:val="21"/>
                <w:highlight w:val="none"/>
              </w:rPr>
              <w:t>应急准备与响应控制程序</w:t>
            </w:r>
            <w:r>
              <w:rPr>
                <w:rFonts w:hint="eastAsia" w:cs="宋体"/>
                <w:color w:val="auto"/>
                <w:szCs w:val="21"/>
                <w:highlight w:val="none"/>
              </w:rPr>
              <w:t>》、《</w:t>
            </w:r>
            <w:r>
              <w:rPr>
                <w:rFonts w:hint="eastAsia" w:ascii="宋体" w:hAnsi="宋体" w:cs="宋体"/>
                <w:color w:val="auto"/>
                <w:szCs w:val="21"/>
                <w:highlight w:val="none"/>
              </w:rPr>
              <w:t>消防应急预案</w:t>
            </w:r>
            <w:r>
              <w:rPr>
                <w:rFonts w:hint="eastAsia" w:cs="宋体"/>
                <w:color w:val="auto"/>
                <w:szCs w:val="21"/>
                <w:highlight w:val="none"/>
              </w:rPr>
              <w:t>》</w:t>
            </w:r>
            <w:r>
              <w:rPr>
                <w:rFonts w:hint="eastAsia" w:cs="宋体"/>
                <w:color w:val="auto"/>
                <w:szCs w:val="21"/>
                <w:highlight w:val="none"/>
                <w:lang w:eastAsia="zh-CN"/>
              </w:rPr>
              <w:t>、《高温中暑应急预案》</w:t>
            </w:r>
            <w:r>
              <w:rPr>
                <w:rFonts w:hint="eastAsia" w:cs="宋体"/>
                <w:color w:val="auto"/>
                <w:szCs w:val="21"/>
                <w:highlight w:val="none"/>
              </w:rPr>
              <w:t>等。</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eastAsia="zh-CN"/>
              </w:rPr>
              <w:t>市场部</w:t>
            </w:r>
            <w:r>
              <w:rPr>
                <w:rFonts w:hint="eastAsia" w:cs="宋体"/>
                <w:color w:val="auto"/>
                <w:szCs w:val="21"/>
                <w:highlight w:val="none"/>
              </w:rPr>
              <w:t>相关人员</w:t>
            </w:r>
            <w:r>
              <w:rPr>
                <w:rFonts w:hint="eastAsia" w:ascii="宋体" w:hAnsi="宋体" w:cs="宋体"/>
                <w:color w:val="auto"/>
                <w:szCs w:val="21"/>
                <w:highlight w:val="none"/>
              </w:rPr>
              <w:t>参加了20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日在公司由</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组织的火灾消防演练。</w:t>
            </w:r>
          </w:p>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hint="default" w:ascii="宋体" w:hAnsi="宋体" w:cs="宋体"/>
                <w:color w:val="auto"/>
                <w:szCs w:val="21"/>
                <w:highlight w:val="none"/>
                <w:lang w:val="en-US"/>
              </w:rPr>
            </w:pPr>
            <w:r>
              <w:rPr>
                <w:rFonts w:hint="default" w:ascii="宋体" w:cs="宋体"/>
                <w:color w:val="auto"/>
                <w:szCs w:val="21"/>
                <w:highlight w:val="none"/>
                <w:lang w:val="en-US" w:eastAsia="zh-CN"/>
              </w:rPr>
              <w:t>查应急准备：</w:t>
            </w:r>
            <w:r>
              <w:rPr>
                <w:rFonts w:hint="eastAsia" w:ascii="宋体" w:cs="宋体"/>
                <w:color w:val="auto"/>
                <w:szCs w:val="21"/>
                <w:highlight w:val="none"/>
                <w:lang w:val="en-US" w:eastAsia="zh-CN"/>
              </w:rPr>
              <w:t>办公区按元宝配置灭火器、性能完好。</w:t>
            </w:r>
          </w:p>
        </w:tc>
        <w:tc>
          <w:tcPr>
            <w:tcW w:w="1535" w:type="dxa"/>
          </w:tcPr>
          <w:p>
            <w:pPr>
              <w:rPr>
                <w:rFonts w:hint="eastAsia" w:eastAsia="宋体"/>
                <w:color w:val="auto"/>
                <w:highlight w:val="none"/>
                <w:lang w:val="en-US" w:eastAsia="zh-CN"/>
              </w:rPr>
            </w:pPr>
            <w:r>
              <w:rPr>
                <w:rFonts w:hint="eastAsia"/>
                <w:color w:val="auto"/>
                <w:highlight w:val="none"/>
                <w:lang w:val="en-US" w:eastAsia="zh-CN"/>
              </w:rPr>
              <w:t>符合</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val="en-US" w:eastAsia="zh-CN"/>
              </w:rPr>
            </w:pPr>
          </w:p>
        </w:tc>
      </w:tr>
    </w:tbl>
    <w:p>
      <w:pPr>
        <w:rPr>
          <w:color w:val="auto"/>
          <w:highlight w:val="none"/>
        </w:rPr>
      </w:pPr>
      <w:r>
        <w:rPr>
          <w:rFonts w:hint="eastAsia"/>
          <w:color w:val="auto"/>
          <w:highlight w:val="none"/>
        </w:rPr>
        <w:t>说明：不符合标注N</w:t>
      </w:r>
    </w:p>
    <w:p>
      <w:pPr>
        <w:pStyle w:val="5"/>
        <w:rPr>
          <w:rFonts w:hint="eastAsia"/>
          <w:color w:val="auto"/>
          <w:highlight w:val="none"/>
        </w:rPr>
      </w:pPr>
    </w:p>
    <w:p>
      <w:pPr>
        <w:pStyle w:val="5"/>
        <w:rPr>
          <w:rFonts w:hint="eastAsia"/>
          <w:color w:val="auto"/>
          <w:highlight w:val="none"/>
        </w:rPr>
      </w:pPr>
      <w:bookmarkStart w:id="0" w:name="_GoBack"/>
      <w:bookmarkEnd w:id="0"/>
    </w:p>
    <w:p>
      <w:pPr>
        <w:rPr>
          <w:color w:val="auto"/>
          <w:highlight w:val="none"/>
        </w:rPr>
      </w:pPr>
    </w:p>
    <w:p>
      <w:pPr>
        <w:rPr>
          <w:color w:val="auto"/>
          <w:highlight w:val="none"/>
        </w:rPr>
      </w:pPr>
    </w:p>
    <w:p>
      <w:pPr>
        <w:rPr>
          <w:color w:val="auto"/>
          <w:highlight w:val="none"/>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3360"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3896773A"/>
    <w:multiLevelType w:val="singleLevel"/>
    <w:tmpl w:val="3896773A"/>
    <w:lvl w:ilvl="0" w:tentative="0">
      <w:start w:val="1"/>
      <w:numFmt w:val="decimal"/>
      <w:suff w:val="nothing"/>
      <w:lvlText w:val="%1）"/>
      <w:lvlJc w:val="left"/>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A905ABC"/>
    <w:rsid w:val="18AB4B3F"/>
    <w:rsid w:val="1B6706BA"/>
    <w:rsid w:val="227D776F"/>
    <w:rsid w:val="253944F4"/>
    <w:rsid w:val="281B6F99"/>
    <w:rsid w:val="2EED79E4"/>
    <w:rsid w:val="38B46719"/>
    <w:rsid w:val="3C565E2F"/>
    <w:rsid w:val="3C6F3459"/>
    <w:rsid w:val="58132F58"/>
    <w:rsid w:val="5A3C5DD6"/>
    <w:rsid w:val="6B0D3978"/>
    <w:rsid w:val="7B2A7FEA"/>
    <w:rsid w:val="7D567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11485</Words>
  <Characters>11979</Characters>
  <Lines>1</Lines>
  <Paragraphs>1</Paragraphs>
  <TotalTime>4</TotalTime>
  <ScaleCrop>false</ScaleCrop>
  <LinksUpToDate>false</LinksUpToDate>
  <CharactersWithSpaces>12264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2022-08-04T04:18:23Z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