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952"/>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160" w:type="dxa"/>
            <w:vMerge w:val="restart"/>
            <w:vAlign w:val="center"/>
          </w:tcPr>
          <w:p>
            <w:pPr>
              <w:rPr>
                <w:rFonts w:hint="eastAsia"/>
                <w:sz w:val="24"/>
                <w:szCs w:val="24"/>
                <w:lang w:val="en-US" w:eastAsia="zh-CN"/>
              </w:rPr>
            </w:pPr>
            <w:r>
              <w:rPr>
                <w:rFonts w:hint="eastAsia"/>
                <w:sz w:val="24"/>
                <w:szCs w:val="24"/>
                <w:lang w:val="en-US" w:eastAsia="zh-CN"/>
              </w:rPr>
              <w:t>过程与活动、</w:t>
            </w:r>
          </w:p>
          <w:p>
            <w:pPr>
              <w:rPr>
                <w:rFonts w:hint="eastAsia"/>
                <w:sz w:val="24"/>
                <w:szCs w:val="24"/>
                <w:lang w:val="en-US" w:eastAsia="zh-CN"/>
              </w:rPr>
            </w:pPr>
            <w:r>
              <w:rPr>
                <w:rFonts w:hint="eastAsia"/>
                <w:sz w:val="24"/>
                <w:szCs w:val="24"/>
                <w:lang w:val="en-US" w:eastAsia="zh-CN"/>
              </w:rPr>
              <w:t>抽样计划</w:t>
            </w:r>
          </w:p>
        </w:tc>
        <w:tc>
          <w:tcPr>
            <w:tcW w:w="960" w:type="dxa"/>
            <w:vMerge w:val="restart"/>
            <w:vAlign w:val="center"/>
          </w:tcPr>
          <w:p>
            <w:pPr>
              <w:rPr>
                <w:rFonts w:hint="eastAsia"/>
                <w:sz w:val="24"/>
                <w:szCs w:val="24"/>
                <w:lang w:val="en-US" w:eastAsia="zh-CN"/>
              </w:rPr>
            </w:pPr>
            <w:r>
              <w:rPr>
                <w:rFonts w:hint="eastAsia"/>
                <w:sz w:val="24"/>
                <w:szCs w:val="24"/>
                <w:lang w:val="en-US" w:eastAsia="zh-CN"/>
              </w:rPr>
              <w:t>涉及</w:t>
            </w:r>
          </w:p>
          <w:p>
            <w:pPr>
              <w:rPr>
                <w:rFonts w:hint="eastAsia"/>
                <w:sz w:val="24"/>
                <w:szCs w:val="24"/>
                <w:lang w:val="en-US" w:eastAsia="zh-CN"/>
              </w:rPr>
            </w:pPr>
            <w:r>
              <w:rPr>
                <w:rFonts w:hint="eastAsia"/>
                <w:sz w:val="24"/>
                <w:szCs w:val="24"/>
                <w:lang w:val="en-US" w:eastAsia="zh-CN"/>
              </w:rPr>
              <w:t>条款</w:t>
            </w:r>
          </w:p>
        </w:tc>
        <w:tc>
          <w:tcPr>
            <w:tcW w:w="10952" w:type="dxa"/>
            <w:vAlign w:val="center"/>
          </w:tcPr>
          <w:p>
            <w:pPr>
              <w:rPr>
                <w:rFonts w:hint="default"/>
                <w:sz w:val="24"/>
                <w:szCs w:val="24"/>
                <w:lang w:val="en-US" w:eastAsia="zh-CN"/>
              </w:rPr>
            </w:pPr>
            <w:r>
              <w:rPr>
                <w:rFonts w:hint="eastAsia"/>
                <w:sz w:val="24"/>
                <w:szCs w:val="24"/>
                <w:lang w:val="en-US" w:eastAsia="zh-CN"/>
              </w:rPr>
              <w:t>受审核部门：技术部       主管领导：</w:t>
            </w:r>
            <w:bookmarkStart w:id="1" w:name="_GoBack"/>
            <w:bookmarkEnd w:id="1"/>
            <w:r>
              <w:rPr>
                <w:rFonts w:hint="eastAsia"/>
                <w:sz w:val="24"/>
                <w:szCs w:val="24"/>
                <w:lang w:val="en-US" w:eastAsia="zh-CN"/>
              </w:rPr>
              <w:t xml:space="preserve">        陪同人员：阮国梁</w:t>
            </w:r>
          </w:p>
        </w:tc>
        <w:tc>
          <w:tcPr>
            <w:tcW w:w="637" w:type="dxa"/>
            <w:vMerge w:val="restart"/>
            <w:vAlign w:val="center"/>
          </w:tcPr>
          <w:p>
            <w:pPr>
              <w:rPr>
                <w:rFonts w:hint="eastAsia"/>
                <w:sz w:val="24"/>
                <w:szCs w:val="24"/>
                <w:lang w:val="en-US" w:eastAsia="zh-CN"/>
              </w:rPr>
            </w:pPr>
            <w:r>
              <w:rPr>
                <w:rFonts w:hint="eastAsia"/>
                <w:sz w:val="24"/>
                <w:szCs w:val="24"/>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sz w:val="24"/>
                <w:szCs w:val="24"/>
                <w:lang w:val="en-US" w:eastAsia="zh-CN"/>
              </w:rPr>
            </w:pPr>
          </w:p>
        </w:tc>
        <w:tc>
          <w:tcPr>
            <w:tcW w:w="960" w:type="dxa"/>
            <w:vMerge w:val="continue"/>
            <w:vAlign w:val="center"/>
          </w:tcPr>
          <w:p>
            <w:pPr>
              <w:rPr>
                <w:rFonts w:hint="eastAsia"/>
                <w:sz w:val="24"/>
                <w:szCs w:val="24"/>
                <w:lang w:val="en-US" w:eastAsia="zh-CN"/>
              </w:rPr>
            </w:pPr>
          </w:p>
        </w:tc>
        <w:tc>
          <w:tcPr>
            <w:tcW w:w="10952" w:type="dxa"/>
            <w:vAlign w:val="center"/>
          </w:tcPr>
          <w:p>
            <w:pPr>
              <w:rPr>
                <w:rFonts w:hint="eastAsia"/>
                <w:sz w:val="24"/>
                <w:szCs w:val="24"/>
                <w:lang w:val="en-US" w:eastAsia="zh-CN"/>
              </w:rPr>
            </w:pPr>
            <w:r>
              <w:rPr>
                <w:rFonts w:hint="eastAsia"/>
                <w:sz w:val="24"/>
                <w:szCs w:val="24"/>
                <w:lang w:val="en-US" w:eastAsia="zh-CN"/>
              </w:rPr>
              <w:t xml:space="preserve">审核员：周涛              审核时间：2022-7-20    </w:t>
            </w:r>
          </w:p>
        </w:tc>
        <w:tc>
          <w:tcPr>
            <w:tcW w:w="637" w:type="dxa"/>
            <w:vMerge w:val="continue"/>
          </w:tcPr>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sz w:val="24"/>
                <w:szCs w:val="24"/>
                <w:lang w:val="en-US" w:eastAsia="zh-CN"/>
              </w:rPr>
            </w:pPr>
          </w:p>
        </w:tc>
        <w:tc>
          <w:tcPr>
            <w:tcW w:w="960" w:type="dxa"/>
            <w:vMerge w:val="continue"/>
            <w:vAlign w:val="center"/>
          </w:tcPr>
          <w:p>
            <w:pPr>
              <w:rPr>
                <w:rFonts w:hint="eastAsia"/>
                <w:sz w:val="24"/>
                <w:szCs w:val="24"/>
                <w:lang w:val="en-US" w:eastAsia="zh-CN"/>
              </w:rPr>
            </w:pPr>
          </w:p>
        </w:tc>
        <w:tc>
          <w:tcPr>
            <w:tcW w:w="10952" w:type="dxa"/>
            <w:vAlign w:val="center"/>
          </w:tcPr>
          <w:p>
            <w:pPr>
              <w:rPr>
                <w:rFonts w:hint="default"/>
                <w:sz w:val="24"/>
                <w:szCs w:val="24"/>
                <w:lang w:val="en-US" w:eastAsia="zh-CN"/>
              </w:rPr>
            </w:pPr>
            <w:r>
              <w:rPr>
                <w:rFonts w:hint="eastAsia"/>
                <w:sz w:val="24"/>
                <w:szCs w:val="24"/>
                <w:lang w:val="en-US" w:eastAsia="zh-CN"/>
              </w:rPr>
              <w:t>审核条款：5.3 组织的岗位、职责和权限、6.2 目标、能源指及其实现的策划、7.4信息交流、8.2设计、9.1.2 合规性评价</w:t>
            </w:r>
          </w:p>
        </w:tc>
        <w:tc>
          <w:tcPr>
            <w:tcW w:w="637" w:type="dxa"/>
            <w:vMerge w:val="continue"/>
          </w:tcPr>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sz w:val="24"/>
                <w:szCs w:val="24"/>
                <w:lang w:val="en-US" w:eastAsia="zh-CN"/>
              </w:rPr>
            </w:pPr>
            <w:r>
              <w:rPr>
                <w:rFonts w:hint="eastAsia"/>
                <w:sz w:val="24"/>
                <w:szCs w:val="24"/>
                <w:lang w:val="en-US" w:eastAsia="zh-CN"/>
              </w:rPr>
              <w:t>能源职责、</w:t>
            </w:r>
          </w:p>
          <w:p>
            <w:pPr>
              <w:rPr>
                <w:rFonts w:hint="eastAsia"/>
                <w:sz w:val="24"/>
                <w:szCs w:val="24"/>
                <w:lang w:val="en-US" w:eastAsia="zh-CN"/>
              </w:rPr>
            </w:pPr>
          </w:p>
        </w:tc>
        <w:tc>
          <w:tcPr>
            <w:tcW w:w="960" w:type="dxa"/>
          </w:tcPr>
          <w:p>
            <w:pPr>
              <w:rPr>
                <w:rFonts w:hint="eastAsia"/>
                <w:sz w:val="24"/>
                <w:szCs w:val="24"/>
                <w:lang w:val="en-US" w:eastAsia="zh-CN"/>
              </w:rPr>
            </w:pPr>
            <w:r>
              <w:rPr>
                <w:rFonts w:hint="eastAsia"/>
                <w:sz w:val="24"/>
                <w:szCs w:val="24"/>
                <w:lang w:val="en-US" w:eastAsia="zh-CN"/>
              </w:rPr>
              <w:t>5.3/</w:t>
            </w:r>
          </w:p>
          <w:p>
            <w:pPr>
              <w:rPr>
                <w:rFonts w:hint="eastAsia"/>
                <w:sz w:val="24"/>
                <w:szCs w:val="24"/>
                <w:lang w:val="en-US" w:eastAsia="zh-CN"/>
              </w:rPr>
            </w:pPr>
          </w:p>
        </w:tc>
        <w:tc>
          <w:tcPr>
            <w:tcW w:w="10952" w:type="dxa"/>
          </w:tcPr>
          <w:p>
            <w:pPr>
              <w:rPr>
                <w:rFonts w:hint="eastAsia"/>
                <w:sz w:val="24"/>
                <w:szCs w:val="24"/>
                <w:lang w:val="en-US" w:eastAsia="zh-CN"/>
              </w:rPr>
            </w:pPr>
            <w:r>
              <w:rPr>
                <w:rFonts w:hint="eastAsia"/>
                <w:sz w:val="24"/>
                <w:szCs w:val="24"/>
                <w:lang w:val="en-US" w:eastAsia="zh-CN"/>
              </w:rPr>
              <w:t>技术部：领导：张家宝 ，共3人；</w:t>
            </w:r>
          </w:p>
          <w:p>
            <w:pPr>
              <w:rPr>
                <w:rFonts w:hint="eastAsia"/>
                <w:sz w:val="24"/>
                <w:szCs w:val="24"/>
                <w:lang w:val="en-US" w:eastAsia="zh-CN"/>
              </w:rPr>
            </w:pPr>
            <w:r>
              <w:rPr>
                <w:rFonts w:hint="eastAsia"/>
                <w:sz w:val="24"/>
                <w:szCs w:val="24"/>
                <w:lang w:val="en-US" w:eastAsia="zh-CN"/>
              </w:rPr>
              <w:t>1、负责按照标准要求开展原材料、产成品的检验试验工作；</w:t>
            </w:r>
          </w:p>
          <w:p>
            <w:pPr>
              <w:rPr>
                <w:rFonts w:hint="eastAsia"/>
                <w:sz w:val="24"/>
                <w:szCs w:val="24"/>
                <w:lang w:val="en-US" w:eastAsia="zh-CN"/>
              </w:rPr>
            </w:pPr>
            <w:r>
              <w:rPr>
                <w:rFonts w:hint="eastAsia"/>
                <w:sz w:val="24"/>
                <w:szCs w:val="24"/>
                <w:lang w:val="en-US" w:eastAsia="zh-CN"/>
              </w:rPr>
              <w:t>2、负责检验和试验状态标识的综合管理工作；</w:t>
            </w:r>
          </w:p>
          <w:p>
            <w:pPr>
              <w:rPr>
                <w:rFonts w:hint="eastAsia"/>
                <w:sz w:val="24"/>
                <w:szCs w:val="24"/>
                <w:lang w:val="en-US" w:eastAsia="zh-CN"/>
              </w:rPr>
            </w:pPr>
            <w:r>
              <w:rPr>
                <w:rFonts w:hint="eastAsia"/>
                <w:sz w:val="24"/>
                <w:szCs w:val="24"/>
                <w:lang w:val="en-US" w:eastAsia="zh-CN"/>
              </w:rPr>
              <w:t>3、负责外购产品的交验工作；</w:t>
            </w:r>
          </w:p>
          <w:p>
            <w:pPr>
              <w:rPr>
                <w:rFonts w:hint="eastAsia"/>
                <w:sz w:val="24"/>
                <w:szCs w:val="24"/>
                <w:lang w:val="en-US" w:eastAsia="zh-CN"/>
              </w:rPr>
            </w:pPr>
            <w:r>
              <w:rPr>
                <w:rFonts w:hint="eastAsia"/>
                <w:sz w:val="24"/>
                <w:szCs w:val="24"/>
                <w:lang w:val="en-US" w:eastAsia="zh-CN"/>
              </w:rPr>
              <w:t>4、负责对生产过程中的质量控制，防止不合格品的产生；</w:t>
            </w:r>
          </w:p>
          <w:p>
            <w:pPr>
              <w:rPr>
                <w:rFonts w:hint="default"/>
                <w:sz w:val="24"/>
                <w:szCs w:val="24"/>
                <w:lang w:val="en-US" w:eastAsia="zh-CN"/>
              </w:rPr>
            </w:pPr>
            <w:r>
              <w:rPr>
                <w:rFonts w:hint="eastAsia"/>
                <w:sz w:val="24"/>
                <w:szCs w:val="24"/>
                <w:lang w:val="en-US" w:eastAsia="zh-CN"/>
              </w:rPr>
              <w:t>工作职责分配明确</w:t>
            </w:r>
          </w:p>
        </w:tc>
        <w:tc>
          <w:tcPr>
            <w:tcW w:w="637" w:type="dxa"/>
          </w:tcPr>
          <w:p>
            <w:pPr>
              <w:rPr>
                <w:rFonts w:hint="eastAsia"/>
                <w:sz w:val="24"/>
                <w:szCs w:val="24"/>
                <w:lang w:val="en-US" w:eastAsia="zh-CN"/>
              </w:rPr>
            </w:pPr>
          </w:p>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2160" w:type="dxa"/>
          </w:tcPr>
          <w:p>
            <w:pPr>
              <w:rPr>
                <w:rFonts w:hint="eastAsia"/>
                <w:sz w:val="24"/>
                <w:szCs w:val="24"/>
                <w:lang w:val="en-US" w:eastAsia="zh-CN"/>
              </w:rPr>
            </w:pPr>
            <w:r>
              <w:rPr>
                <w:rFonts w:hint="eastAsia"/>
                <w:sz w:val="24"/>
                <w:szCs w:val="24"/>
                <w:lang w:val="en-US" w:eastAsia="zh-CN"/>
              </w:rPr>
              <w:t>能源管理目标及实现情况</w:t>
            </w:r>
          </w:p>
        </w:tc>
        <w:tc>
          <w:tcPr>
            <w:tcW w:w="960" w:type="dxa"/>
          </w:tcPr>
          <w:p>
            <w:pPr>
              <w:rPr>
                <w:rFonts w:hint="eastAsia"/>
                <w:sz w:val="24"/>
                <w:szCs w:val="24"/>
                <w:lang w:val="en-US" w:eastAsia="zh-CN"/>
              </w:rPr>
            </w:pPr>
            <w:r>
              <w:rPr>
                <w:rFonts w:hint="eastAsia"/>
                <w:sz w:val="24"/>
                <w:szCs w:val="24"/>
                <w:lang w:val="en-US" w:eastAsia="zh-CN"/>
              </w:rPr>
              <w:t>6.2</w:t>
            </w:r>
          </w:p>
        </w:tc>
        <w:tc>
          <w:tcPr>
            <w:tcW w:w="10952" w:type="dxa"/>
          </w:tcPr>
          <w:p>
            <w:pPr>
              <w:rPr>
                <w:rFonts w:hint="default"/>
                <w:sz w:val="24"/>
                <w:szCs w:val="24"/>
                <w:lang w:val="en-US" w:eastAsia="zh-CN"/>
              </w:rPr>
            </w:pPr>
            <w:r>
              <w:rPr>
                <w:rFonts w:hint="eastAsia"/>
                <w:sz w:val="24"/>
                <w:szCs w:val="24"/>
                <w:lang w:val="en-US" w:eastAsia="zh-CN"/>
              </w:rPr>
              <w:t>技术部能源没有分解本部门的能源目标，执行公司的总目标</w:t>
            </w:r>
          </w:p>
          <w:p>
            <w:pPr>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202</w:t>
            </w:r>
            <w:r>
              <w:rPr>
                <w:rFonts w:hint="eastAsia" w:cs="Times New Roman"/>
                <w:sz w:val="24"/>
                <w:szCs w:val="24"/>
                <w:lang w:val="en-US" w:eastAsia="zh-CN"/>
              </w:rPr>
              <w:t>2</w:t>
            </w:r>
            <w:r>
              <w:rPr>
                <w:rFonts w:hint="default" w:ascii="Times New Roman" w:hAnsi="Times New Roman" w:cs="Times New Roman"/>
                <w:sz w:val="24"/>
                <w:szCs w:val="24"/>
                <w:lang w:val="en-US" w:eastAsia="zh-CN"/>
              </w:rPr>
              <w:t>年目标：</w:t>
            </w:r>
            <w:r>
              <w:rPr>
                <w:rFonts w:hint="eastAsia" w:cs="Times New Roman"/>
                <w:sz w:val="24"/>
                <w:szCs w:val="24"/>
                <w:lang w:val="en-US" w:eastAsia="zh-CN"/>
              </w:rPr>
              <w:t>单位产品能耗</w:t>
            </w:r>
            <w:r>
              <w:rPr>
                <w:rFonts w:hint="eastAsia" w:ascii="Times New Roman" w:hAnsi="Times New Roman" w:cs="Times New Roman"/>
                <w:sz w:val="24"/>
                <w:szCs w:val="24"/>
                <w:lang w:val="en-US" w:eastAsia="zh-CN"/>
              </w:rPr>
              <w:t>≦</w:t>
            </w:r>
            <w:r>
              <w:rPr>
                <w:rFonts w:hint="eastAsia" w:cs="Times New Roman"/>
                <w:sz w:val="24"/>
                <w:szCs w:val="24"/>
                <w:lang w:val="en-US" w:eastAsia="zh-CN"/>
              </w:rPr>
              <w:t>77.95kgce/t；</w:t>
            </w:r>
            <w:r>
              <w:rPr>
                <w:rFonts w:hint="eastAsia" w:ascii="Times New Roman" w:hAnsi="Times New Roman" w:cs="Times New Roman"/>
                <w:sz w:val="24"/>
                <w:szCs w:val="24"/>
                <w:lang w:val="en-US" w:eastAsia="zh-CN"/>
              </w:rPr>
              <w:t xml:space="preserve">             </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2022年1-6月份目标完成情况：69.63kgce/t </w:t>
            </w:r>
          </w:p>
          <w:p>
            <w:pPr>
              <w:rPr>
                <w:rFonts w:hint="default"/>
                <w:sz w:val="24"/>
                <w:szCs w:val="24"/>
                <w:lang w:val="en-US" w:eastAsia="zh-CN"/>
              </w:rPr>
            </w:pPr>
            <w:r>
              <w:rPr>
                <w:rFonts w:hint="eastAsia" w:cs="Times New Roman"/>
                <w:sz w:val="24"/>
                <w:szCs w:val="24"/>
                <w:lang w:val="en-US" w:eastAsia="zh-CN"/>
              </w:rPr>
              <w:t>完成了目标。</w:t>
            </w:r>
          </w:p>
        </w:tc>
        <w:tc>
          <w:tcPr>
            <w:tcW w:w="637" w:type="dxa"/>
          </w:tcPr>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sz w:val="24"/>
                <w:szCs w:val="24"/>
                <w:lang w:val="en-US" w:eastAsia="zh-CN"/>
              </w:rPr>
            </w:pPr>
            <w:r>
              <w:rPr>
                <w:rFonts w:hint="eastAsia"/>
                <w:sz w:val="24"/>
                <w:szCs w:val="24"/>
                <w:lang w:val="en-US" w:eastAsia="zh-CN"/>
              </w:rPr>
              <w:t>信息交流；</w:t>
            </w:r>
          </w:p>
        </w:tc>
        <w:tc>
          <w:tcPr>
            <w:tcW w:w="960" w:type="dxa"/>
          </w:tcPr>
          <w:p>
            <w:pPr>
              <w:rPr>
                <w:rFonts w:hint="default"/>
                <w:sz w:val="24"/>
                <w:szCs w:val="24"/>
                <w:lang w:val="en-US" w:eastAsia="zh-CN"/>
              </w:rPr>
            </w:pPr>
            <w:r>
              <w:rPr>
                <w:rFonts w:hint="eastAsia"/>
                <w:sz w:val="24"/>
                <w:szCs w:val="24"/>
                <w:lang w:val="en-US" w:eastAsia="zh-CN"/>
              </w:rPr>
              <w:t>7.4</w:t>
            </w:r>
          </w:p>
        </w:tc>
        <w:tc>
          <w:tcPr>
            <w:tcW w:w="10952" w:type="dxa"/>
          </w:tcPr>
          <w:p>
            <w:pPr>
              <w:rPr>
                <w:rFonts w:hint="eastAsia"/>
                <w:sz w:val="24"/>
                <w:szCs w:val="24"/>
                <w:lang w:val="en-US" w:eastAsia="zh-CN"/>
              </w:rPr>
            </w:pPr>
            <w:r>
              <w:rPr>
                <w:rFonts w:hint="eastAsia"/>
                <w:sz w:val="24"/>
                <w:szCs w:val="24"/>
                <w:lang w:val="en-US" w:eastAsia="zh-CN"/>
              </w:rPr>
              <w:t>技术部对能源基准、能源绩效参数、能源目标指标在员工所在岗位及相应层次进行内部沟通，尤其是当能源绩效纳入企业考核机制时，对考核的过程及结果应予以内部沟通。沟通的形式包括各种会议、公告栏、简报、意见箱、网络。</w:t>
            </w:r>
          </w:p>
          <w:p>
            <w:pPr>
              <w:rPr>
                <w:rFonts w:hint="eastAsia"/>
                <w:sz w:val="24"/>
                <w:szCs w:val="24"/>
                <w:lang w:val="en-US" w:eastAsia="zh-CN"/>
              </w:rPr>
            </w:pPr>
            <w:r>
              <w:rPr>
                <w:rFonts w:hint="eastAsia"/>
                <w:sz w:val="24"/>
                <w:szCs w:val="24"/>
                <w:lang w:val="en-US" w:eastAsia="zh-CN"/>
              </w:rPr>
              <w:t>技术部负责外部交流工作。技术部负责向当地政府能源主管部门上报能源方面数据，财务管理部向股东方等相关方以报表、报告、网络报送等形式方式予以实施。</w:t>
            </w:r>
          </w:p>
          <w:p>
            <w:pPr>
              <w:rPr>
                <w:rFonts w:hint="eastAsia"/>
                <w:sz w:val="24"/>
                <w:szCs w:val="24"/>
                <w:lang w:val="en-US" w:eastAsia="zh-CN"/>
              </w:rPr>
            </w:pPr>
            <w:r>
              <w:rPr>
                <w:rFonts w:hint="eastAsia"/>
                <w:sz w:val="24"/>
                <w:szCs w:val="24"/>
                <w:lang w:val="en-US" w:eastAsia="zh-CN"/>
              </w:rPr>
              <w:t>负责收集、传递企业能源信息、开展能源体系的策划、实施、监督、检查。参加行业协会组织的能效对标活动，进行节能工作经验交流，推广现代化节能管理方法、节能技术改造和行之有效的节能措施。”</w:t>
            </w:r>
          </w:p>
        </w:tc>
        <w:tc>
          <w:tcPr>
            <w:tcW w:w="637" w:type="dxa"/>
          </w:tcPr>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sz w:val="24"/>
                <w:szCs w:val="24"/>
                <w:lang w:val="en-US" w:eastAsia="zh-CN"/>
              </w:rPr>
            </w:pPr>
            <w:r>
              <w:rPr>
                <w:rFonts w:hint="eastAsia"/>
                <w:sz w:val="24"/>
                <w:szCs w:val="24"/>
                <w:lang w:val="en-US" w:eastAsia="zh-CN"/>
              </w:rPr>
              <w:t>设计</w:t>
            </w:r>
          </w:p>
        </w:tc>
        <w:tc>
          <w:tcPr>
            <w:tcW w:w="960" w:type="dxa"/>
          </w:tcPr>
          <w:p>
            <w:pPr>
              <w:rPr>
                <w:rFonts w:hint="default"/>
                <w:sz w:val="24"/>
                <w:szCs w:val="24"/>
                <w:lang w:val="en-US" w:eastAsia="zh-CN"/>
              </w:rPr>
            </w:pPr>
            <w:r>
              <w:rPr>
                <w:rFonts w:hint="eastAsia"/>
                <w:sz w:val="24"/>
                <w:szCs w:val="24"/>
                <w:lang w:val="en-US" w:eastAsia="zh-CN"/>
              </w:rPr>
              <w:t>8.2</w:t>
            </w:r>
          </w:p>
        </w:tc>
        <w:tc>
          <w:tcPr>
            <w:tcW w:w="10952"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定并执行《设计控制程序》，通过对新、改、扩建项目的设计中出现的影响能源绩效较为显著的设施、设备、系统和过程及新产品或产品改进的设计全过程进行控制，确保设计能符合预期要求，同时降低能源消耗、提高能源效率、提高能源绩效，保证设计的全过程满足顾客和有关法律、法规、标准的要求。</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抽查设计开发资料：</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982720" cy="5644515"/>
                  <wp:effectExtent l="0" t="0" r="5080" b="6985"/>
                  <wp:docPr id="3" name="图片 3" descr="75b5b7819227ce2f7ddd909f2e5c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b5b7819227ce2f7ddd909f2e5cecb"/>
                          <pic:cNvPicPr>
                            <a:picLocks noChangeAspect="1"/>
                          </pic:cNvPicPr>
                        </pic:nvPicPr>
                        <pic:blipFill>
                          <a:blip r:embed="rId6"/>
                          <a:stretch>
                            <a:fillRect/>
                          </a:stretch>
                        </pic:blipFill>
                        <pic:spPr>
                          <a:xfrm>
                            <a:off x="0" y="0"/>
                            <a:ext cx="3982720" cy="5644515"/>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815455" cy="5532755"/>
                  <wp:effectExtent l="0" t="0" r="4445" b="4445"/>
                  <wp:docPr id="5" name="图片 5" descr="448a70512bdbd1cf1aabbe178c70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8a70512bdbd1cf1aabbe178c70b9b"/>
                          <pic:cNvPicPr>
                            <a:picLocks noChangeAspect="1"/>
                          </pic:cNvPicPr>
                        </pic:nvPicPr>
                        <pic:blipFill>
                          <a:blip r:embed="rId7"/>
                          <a:stretch>
                            <a:fillRect/>
                          </a:stretch>
                        </pic:blipFill>
                        <pic:spPr>
                          <a:xfrm rot="10800000">
                            <a:off x="0" y="0"/>
                            <a:ext cx="6815455" cy="5532755"/>
                          </a:xfrm>
                          <a:prstGeom prst="rect">
                            <a:avLst/>
                          </a:prstGeom>
                        </pic:spPr>
                      </pic:pic>
                    </a:graphicData>
                  </a:graphic>
                </wp:inline>
              </w:drawing>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815455" cy="4803775"/>
                  <wp:effectExtent l="0" t="0" r="4445" b="9525"/>
                  <wp:docPr id="6" name="图片 6" descr="70fbb8da4816f4d2a815f34f977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fbb8da4816f4d2a815f34f9778097"/>
                          <pic:cNvPicPr>
                            <a:picLocks noChangeAspect="1"/>
                          </pic:cNvPicPr>
                        </pic:nvPicPr>
                        <pic:blipFill>
                          <a:blip r:embed="rId8"/>
                          <a:stretch>
                            <a:fillRect/>
                          </a:stretch>
                        </pic:blipFill>
                        <pic:spPr>
                          <a:xfrm rot="10800000">
                            <a:off x="0" y="0"/>
                            <a:ext cx="6815455" cy="4803775"/>
                          </a:xfrm>
                          <a:prstGeom prst="rect">
                            <a:avLst/>
                          </a:prstGeom>
                        </pic:spPr>
                      </pic:pic>
                    </a:graphicData>
                  </a:graphic>
                </wp:inline>
              </w:drawing>
            </w:r>
          </w:p>
        </w:tc>
        <w:tc>
          <w:tcPr>
            <w:tcW w:w="637" w:type="dxa"/>
          </w:tcPr>
          <w:p>
            <w:pPr>
              <w:rPr>
                <w:rFonts w:hint="eastAsia"/>
                <w:lang w:val="en-US" w:eastAsia="zh-CN"/>
              </w:rPr>
            </w:pPr>
          </w:p>
          <w:p>
            <w:pPr>
              <w:pStyle w:val="2"/>
              <w:rPr>
                <w:rFonts w:hint="default"/>
                <w:lang w:val="en-US" w:eastAsia="zh-CN"/>
              </w:rPr>
            </w:pPr>
            <w:r>
              <w:rPr>
                <w:rFonts w:hint="eastAsia"/>
                <w:sz w:val="24"/>
                <w:szCs w:val="24"/>
                <w:lang w:val="en-US" w:eastAsia="zh-CN"/>
              </w:rPr>
              <w:t xml:space="preserve"> y</w:t>
            </w: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52"/>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52"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制造部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何金鱼</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陪同人员：</w:t>
            </w:r>
            <w:r>
              <w:rPr>
                <w:rFonts w:hint="eastAsia"/>
                <w:sz w:val="24"/>
                <w:szCs w:val="24"/>
                <w:lang w:val="en-US" w:eastAsia="zh-CN"/>
              </w:rPr>
              <w:t>阮国梁</w:t>
            </w:r>
          </w:p>
        </w:tc>
        <w:tc>
          <w:tcPr>
            <w:tcW w:w="73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5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周涛   </w:t>
            </w:r>
            <w:r>
              <w:rPr>
                <w:sz w:val="24"/>
                <w:szCs w:val="24"/>
              </w:rPr>
              <w:t xml:space="preserve">         </w:t>
            </w:r>
            <w:r>
              <w:rPr>
                <w:rFonts w:hint="eastAsia"/>
                <w:sz w:val="24"/>
                <w:szCs w:val="24"/>
              </w:rPr>
              <w:t>审核时间：</w:t>
            </w:r>
            <w:r>
              <w:rPr>
                <w:rFonts w:hint="eastAsia"/>
                <w:sz w:val="24"/>
                <w:szCs w:val="24"/>
                <w:lang w:val="en-US" w:eastAsia="zh-CN"/>
              </w:rPr>
              <w:t>2022.</w:t>
            </w:r>
            <w:r>
              <w:rPr>
                <w:rFonts w:hint="eastAsia"/>
                <w:sz w:val="24"/>
                <w:szCs w:val="24"/>
                <w:highlight w:val="none"/>
                <w:lang w:val="en-US" w:eastAsia="zh-CN"/>
              </w:rPr>
              <w:t>7.15</w:t>
            </w:r>
          </w:p>
        </w:tc>
        <w:tc>
          <w:tcPr>
            <w:tcW w:w="7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52" w:type="dxa"/>
            <w:vAlign w:val="center"/>
          </w:tcPr>
          <w:p>
            <w:pPr>
              <w:tabs>
                <w:tab w:val="left" w:pos="709"/>
              </w:tabs>
              <w:ind w:right="57" w:rightChars="0"/>
              <w:rPr>
                <w:rFonts w:hint="default"/>
                <w:sz w:val="24"/>
                <w:szCs w:val="24"/>
                <w:lang w:val="en-US"/>
              </w:rPr>
            </w:pPr>
            <w:r>
              <w:rPr>
                <w:rFonts w:hint="eastAsia"/>
                <w:sz w:val="24"/>
                <w:szCs w:val="24"/>
              </w:rPr>
              <w:t>审核条款：</w:t>
            </w:r>
            <w:r>
              <w:rPr>
                <w:rFonts w:hint="eastAsia" w:ascii="Times New Roman" w:hAnsi="Times New Roman" w:eastAsia="宋体" w:cs="Times New Roman"/>
                <w:bCs w:val="0"/>
                <w:spacing w:val="0"/>
                <w:kern w:val="2"/>
                <w:sz w:val="21"/>
                <w:szCs w:val="21"/>
                <w:lang w:val="en-US" w:eastAsia="zh-CN" w:bidi="ar-SA"/>
              </w:rPr>
              <w:t>En:5.3/6.2/6.3/6.4/6.5/6.6/8.1/</w:t>
            </w:r>
            <w:r>
              <w:rPr>
                <w:rFonts w:hint="eastAsia" w:cs="Times New Roman"/>
                <w:bCs w:val="0"/>
                <w:spacing w:val="0"/>
                <w:kern w:val="2"/>
                <w:sz w:val="21"/>
                <w:szCs w:val="21"/>
                <w:lang w:val="en-US" w:eastAsia="zh-CN" w:bidi="ar-SA"/>
              </w:rPr>
              <w:t>8.3/9.1.1/</w:t>
            </w:r>
            <w:r>
              <w:rPr>
                <w:rFonts w:hint="eastAsia" w:ascii="Times New Roman" w:hAnsi="Times New Roman" w:eastAsia="宋体" w:cs="Times New Roman"/>
                <w:bCs w:val="0"/>
                <w:spacing w:val="0"/>
                <w:kern w:val="2"/>
                <w:sz w:val="21"/>
                <w:szCs w:val="21"/>
                <w:lang w:val="en-US" w:eastAsia="zh-CN" w:bidi="ar-SA"/>
              </w:rPr>
              <w:t>9.1.</w:t>
            </w:r>
            <w:r>
              <w:rPr>
                <w:rFonts w:hint="eastAsia" w:cs="Times New Roman"/>
                <w:bCs w:val="0"/>
                <w:spacing w:val="0"/>
                <w:kern w:val="2"/>
                <w:sz w:val="21"/>
                <w:szCs w:val="21"/>
                <w:lang w:val="en-US" w:eastAsia="zh-CN" w:bidi="ar-SA"/>
              </w:rPr>
              <w:t>2</w:t>
            </w:r>
            <w:r>
              <w:rPr>
                <w:rFonts w:hint="eastAsia" w:ascii="Times New Roman" w:hAnsi="Times New Roman" w:eastAsia="宋体" w:cs="Times New Roman"/>
                <w:bCs w:val="0"/>
                <w:spacing w:val="0"/>
                <w:kern w:val="2"/>
                <w:sz w:val="21"/>
                <w:szCs w:val="21"/>
                <w:lang w:val="en-US" w:eastAsia="zh-CN" w:bidi="ar-SA"/>
              </w:rPr>
              <w:t>/10.1/</w:t>
            </w:r>
            <w:r>
              <w:rPr>
                <w:rFonts w:hint="eastAsia" w:cs="Times New Roman"/>
                <w:bCs w:val="0"/>
                <w:spacing w:val="0"/>
                <w:kern w:val="2"/>
                <w:sz w:val="21"/>
                <w:szCs w:val="21"/>
                <w:lang w:val="en-US" w:eastAsia="zh-CN" w:bidi="ar-SA"/>
              </w:rPr>
              <w:t>4.2</w:t>
            </w:r>
          </w:p>
        </w:tc>
        <w:tc>
          <w:tcPr>
            <w:tcW w:w="73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tcPr>
          <w:p>
            <w:pPr>
              <w:rPr>
                <w:rFonts w:hint="default"/>
                <w:sz w:val="24"/>
                <w:szCs w:val="24"/>
                <w:lang w:val="en-US" w:eastAsia="zh-CN"/>
              </w:rPr>
            </w:pPr>
            <w:r>
              <w:rPr>
                <w:rFonts w:hint="eastAsia"/>
                <w:sz w:val="24"/>
                <w:szCs w:val="24"/>
              </w:rPr>
              <w:t>组织的岗位、</w:t>
            </w:r>
            <w:r>
              <w:rPr>
                <w:rFonts w:hint="eastAsia"/>
                <w:sz w:val="24"/>
                <w:szCs w:val="24"/>
                <w:lang w:val="en-US" w:eastAsia="zh-CN"/>
              </w:rPr>
              <w:t>职责权限</w:t>
            </w:r>
          </w:p>
        </w:tc>
        <w:tc>
          <w:tcPr>
            <w:tcW w:w="960" w:type="dxa"/>
          </w:tcPr>
          <w:p>
            <w:pPr>
              <w:rPr>
                <w:rFonts w:hint="default"/>
                <w:sz w:val="24"/>
                <w:szCs w:val="24"/>
                <w:lang w:val="en-US" w:eastAsia="zh-CN"/>
              </w:rPr>
            </w:pPr>
            <w:r>
              <w:rPr>
                <w:rFonts w:hint="eastAsia"/>
                <w:sz w:val="24"/>
                <w:szCs w:val="24"/>
                <w:lang w:val="en-US" w:eastAsia="zh-CN"/>
              </w:rPr>
              <w:t>En5.3</w:t>
            </w:r>
          </w:p>
        </w:tc>
        <w:tc>
          <w:tcPr>
            <w:tcW w:w="10852" w:type="dxa"/>
          </w:tcPr>
          <w:p>
            <w:pPr>
              <w:rPr>
                <w:rFonts w:hint="eastAsia" w:ascii="Times New Roman" w:hAnsi="Times New Roman" w:eastAsia="宋体" w:cs="Times New Roman"/>
                <w:sz w:val="24"/>
                <w:szCs w:val="24"/>
                <w:lang w:val="en-US" w:eastAsia="zh-CN"/>
              </w:rPr>
            </w:pPr>
            <w:r>
              <w:rPr>
                <w:rFonts w:hint="eastAsia" w:eastAsia="宋体" w:cs="Times New Roman"/>
                <w:sz w:val="24"/>
                <w:szCs w:val="24"/>
                <w:lang w:val="en-US" w:eastAsia="zh-CN"/>
              </w:rPr>
              <w:t>制造部</w:t>
            </w:r>
            <w:r>
              <w:rPr>
                <w:rFonts w:hint="eastAsia" w:ascii="Times New Roman" w:hAnsi="Times New Roman" w:eastAsia="宋体" w:cs="Times New Roman"/>
                <w:sz w:val="24"/>
                <w:szCs w:val="24"/>
                <w:lang w:val="en-US" w:eastAsia="zh-CN"/>
              </w:rPr>
              <w:t>共18人。</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eastAsia" w:eastAsia="宋体" w:cs="Times New Roman"/>
                <w:sz w:val="24"/>
                <w:szCs w:val="24"/>
                <w:lang w:val="en-US" w:eastAsia="zh-CN"/>
              </w:rPr>
              <w:t>、</w:t>
            </w:r>
            <w:r>
              <w:rPr>
                <w:rFonts w:hint="eastAsia" w:ascii="Times New Roman" w:hAnsi="Times New Roman" w:eastAsia="宋体" w:cs="Times New Roman"/>
                <w:sz w:val="24"/>
                <w:szCs w:val="24"/>
                <w:lang w:val="en-US" w:eastAsia="zh-CN"/>
              </w:rPr>
              <w:t>负责能源计划的编制和安排，综合计划的编制，审批各类能源的采购、加工计划等。</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2、</w:t>
            </w:r>
            <w:r>
              <w:rPr>
                <w:rFonts w:hint="eastAsia" w:ascii="Times New Roman" w:hAnsi="Times New Roman" w:eastAsia="宋体" w:cs="Times New Roman"/>
                <w:sz w:val="24"/>
                <w:szCs w:val="24"/>
                <w:lang w:val="en-US" w:eastAsia="zh-CN"/>
              </w:rPr>
              <w:t>负责能源运行指标完成情况的统计工作。</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3、</w:t>
            </w:r>
            <w:r>
              <w:rPr>
                <w:rFonts w:hint="eastAsia" w:ascii="Times New Roman" w:hAnsi="Times New Roman" w:eastAsia="宋体" w:cs="Times New Roman"/>
                <w:sz w:val="24"/>
                <w:szCs w:val="24"/>
                <w:lang w:val="en-US" w:eastAsia="zh-CN"/>
              </w:rPr>
              <w:t>负责公司各部门做好生产过程的能源控制和对能源过程能力的确认。</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4、</w:t>
            </w:r>
            <w:r>
              <w:rPr>
                <w:rFonts w:hint="eastAsia" w:ascii="Times New Roman" w:hAnsi="Times New Roman" w:eastAsia="宋体" w:cs="Times New Roman"/>
                <w:sz w:val="24"/>
                <w:szCs w:val="24"/>
                <w:lang w:val="en-US" w:eastAsia="zh-CN"/>
              </w:rPr>
              <w:t>合理公司生产调度，努力降低能源消耗和损失，提高能源利用率。</w:t>
            </w:r>
          </w:p>
          <w:p>
            <w:pPr>
              <w:rPr>
                <w:rFonts w:hint="default" w:ascii="Times New Roman" w:hAnsi="Times New Roman" w:eastAsia="宋体" w:cs="Times New Roman"/>
                <w:sz w:val="24"/>
                <w:szCs w:val="24"/>
                <w:lang w:val="en-US" w:eastAsia="zh-CN"/>
              </w:rPr>
            </w:pPr>
            <w:r>
              <w:rPr>
                <w:rFonts w:hint="eastAsia" w:eastAsia="宋体" w:cs="Times New Roman"/>
                <w:sz w:val="24"/>
                <w:szCs w:val="24"/>
                <w:lang w:val="en-US" w:eastAsia="zh-CN"/>
              </w:rPr>
              <w:t>5、</w:t>
            </w:r>
            <w:r>
              <w:rPr>
                <w:rFonts w:hint="eastAsia" w:ascii="Times New Roman" w:hAnsi="Times New Roman" w:eastAsia="宋体" w:cs="Times New Roman"/>
                <w:sz w:val="24"/>
                <w:szCs w:val="24"/>
                <w:lang w:val="en-US" w:eastAsia="zh-CN"/>
              </w:rPr>
              <w:t>负责安全应急预案的编制和落实工作。</w:t>
            </w:r>
          </w:p>
          <w:p>
            <w:pPr>
              <w:rPr>
                <w:rFonts w:hint="eastAsia" w:ascii="Times New Roman" w:hAnsi="Times New Roman" w:eastAsia="宋体" w:cs="Times New Roman"/>
                <w:sz w:val="24"/>
                <w:szCs w:val="24"/>
                <w:lang w:val="en-US" w:eastAsia="zh-CN"/>
              </w:rPr>
            </w:pPr>
            <w:r>
              <w:rPr>
                <w:rFonts w:hint="eastAsia" w:eastAsia="宋体" w:cs="Times New Roman"/>
                <w:sz w:val="24"/>
                <w:szCs w:val="24"/>
                <w:lang w:val="en-US" w:eastAsia="zh-CN"/>
              </w:rPr>
              <w:t>6、</w:t>
            </w:r>
            <w:r>
              <w:rPr>
                <w:rFonts w:hint="eastAsia" w:ascii="Times New Roman" w:hAnsi="Times New Roman" w:eastAsia="宋体" w:cs="Times New Roman"/>
                <w:sz w:val="24"/>
                <w:szCs w:val="24"/>
                <w:lang w:val="en-US" w:eastAsia="zh-CN"/>
              </w:rPr>
              <w:t>负责公司确定、提供和维护为达到本公司节能技术的符合性所需要的基础设施。</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经理对职责基本明确清晰。</w:t>
            </w:r>
          </w:p>
        </w:tc>
        <w:tc>
          <w:tcPr>
            <w:tcW w:w="737" w:type="dxa"/>
          </w:tcPr>
          <w:p>
            <w:pPr>
              <w:rPr>
                <w:rFonts w:hint="eastAsia"/>
                <w:sz w:val="24"/>
                <w:szCs w:val="24"/>
              </w:rPr>
            </w:pPr>
          </w:p>
          <w:p>
            <w:pPr>
              <w:rPr>
                <w:rFonts w:hint="eastAsia"/>
                <w:sz w:val="24"/>
                <w:szCs w:val="24"/>
              </w:rPr>
            </w:pPr>
          </w:p>
          <w:p>
            <w:pPr>
              <w:rPr>
                <w:rFonts w:hint="eastAsia"/>
                <w:sz w:val="24"/>
                <w:szCs w:val="24"/>
              </w:rPr>
            </w:pPr>
          </w:p>
          <w:p>
            <w:pPr>
              <w:ind w:firstLine="240" w:firstLineChars="100"/>
              <w:rPr>
                <w:rFonts w:hint="eastAsia"/>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160" w:type="dxa"/>
          </w:tcPr>
          <w:p>
            <w:pPr>
              <w:rPr>
                <w:rFonts w:hint="default"/>
                <w:sz w:val="24"/>
                <w:szCs w:val="24"/>
                <w:lang w:val="en-US" w:eastAsia="zh-CN"/>
              </w:rPr>
            </w:pPr>
            <w:r>
              <w:rPr>
                <w:rFonts w:hint="eastAsia"/>
                <w:sz w:val="24"/>
                <w:szCs w:val="24"/>
                <w:lang w:val="en-US" w:eastAsia="zh-CN"/>
              </w:rPr>
              <w:t>能源目标\</w:t>
            </w:r>
            <w:r>
              <w:rPr>
                <w:rFonts w:hint="eastAsia"/>
                <w:sz w:val="24"/>
                <w:szCs w:val="24"/>
              </w:rPr>
              <w:t>能源指及其实现的策划</w:t>
            </w:r>
          </w:p>
        </w:tc>
        <w:tc>
          <w:tcPr>
            <w:tcW w:w="960" w:type="dxa"/>
          </w:tcPr>
          <w:p>
            <w:pPr>
              <w:rPr>
                <w:rFonts w:hint="default"/>
                <w:sz w:val="24"/>
                <w:szCs w:val="24"/>
                <w:lang w:val="en-US" w:eastAsia="zh-CN"/>
              </w:rPr>
            </w:pPr>
            <w:r>
              <w:rPr>
                <w:rFonts w:hint="eastAsia"/>
                <w:sz w:val="24"/>
                <w:szCs w:val="24"/>
                <w:lang w:val="en-US" w:eastAsia="zh-CN"/>
              </w:rPr>
              <w:t>En6.2</w:t>
            </w:r>
          </w:p>
        </w:tc>
        <w:tc>
          <w:tcPr>
            <w:tcW w:w="10852" w:type="dxa"/>
          </w:tcPr>
          <w:p>
            <w:pPr>
              <w:rPr>
                <w:rFonts w:hint="eastAsia" w:eastAsia="宋体" w:cs="Times New Roman"/>
                <w:sz w:val="24"/>
                <w:szCs w:val="24"/>
                <w:lang w:val="en-US" w:eastAsia="zh-CN"/>
              </w:rPr>
            </w:pPr>
            <w:r>
              <w:rPr>
                <w:rFonts w:hint="default" w:ascii="Times New Roman" w:hAnsi="Times New Roman" w:cs="Times New Roman"/>
                <w:sz w:val="24"/>
                <w:szCs w:val="24"/>
                <w:lang w:val="en-US" w:eastAsia="zh-CN"/>
              </w:rPr>
              <w:t>202</w:t>
            </w:r>
            <w:r>
              <w:rPr>
                <w:rFonts w:hint="eastAsia" w:cs="Times New Roman"/>
                <w:sz w:val="24"/>
                <w:szCs w:val="24"/>
                <w:lang w:val="en-US" w:eastAsia="zh-CN"/>
              </w:rPr>
              <w:t>1</w:t>
            </w:r>
            <w:r>
              <w:rPr>
                <w:rFonts w:hint="default" w:ascii="Times New Roman" w:hAnsi="Times New Roman" w:cs="Times New Roman"/>
                <w:sz w:val="24"/>
                <w:szCs w:val="24"/>
                <w:lang w:val="en-US" w:eastAsia="zh-CN"/>
              </w:rPr>
              <w:t>年目标：</w:t>
            </w:r>
            <w:r>
              <w:rPr>
                <w:rFonts w:hint="eastAsia" w:cs="Times New Roman"/>
                <w:sz w:val="24"/>
                <w:szCs w:val="24"/>
                <w:lang w:val="en-US" w:eastAsia="zh-CN"/>
              </w:rPr>
              <w:t>单位产品能</w:t>
            </w:r>
            <w:r>
              <w:rPr>
                <w:rFonts w:hint="eastAsia" w:eastAsia="宋体" w:cs="Times New Roman"/>
                <w:sz w:val="24"/>
                <w:szCs w:val="24"/>
                <w:lang w:val="en-US" w:eastAsia="zh-CN"/>
              </w:rPr>
              <w:t>耗≦8.496kgce/t；</w:t>
            </w:r>
          </w:p>
          <w:p>
            <w:pPr>
              <w:rPr>
                <w:rFonts w:hint="eastAsia" w:eastAsia="宋体" w:cs="Times New Roman"/>
                <w:sz w:val="24"/>
                <w:szCs w:val="24"/>
                <w:lang w:val="en-US" w:eastAsia="zh-CN"/>
              </w:rPr>
            </w:pPr>
            <w:r>
              <w:rPr>
                <w:rFonts w:hint="default" w:ascii="Times New Roman" w:hAnsi="Times New Roman" w:cs="Times New Roman"/>
                <w:sz w:val="24"/>
                <w:szCs w:val="24"/>
                <w:lang w:val="en-US" w:eastAsia="zh-CN"/>
              </w:rPr>
              <w:t>202</w:t>
            </w:r>
            <w:r>
              <w:rPr>
                <w:rFonts w:hint="eastAsia" w:cs="Times New Roman"/>
                <w:sz w:val="24"/>
                <w:szCs w:val="24"/>
                <w:lang w:val="en-US" w:eastAsia="zh-CN"/>
              </w:rPr>
              <w:t>1</w:t>
            </w:r>
            <w:r>
              <w:rPr>
                <w:rFonts w:hint="default" w:ascii="Times New Roman" w:hAnsi="Times New Roman" w:cs="Times New Roman"/>
                <w:sz w:val="24"/>
                <w:szCs w:val="24"/>
                <w:lang w:val="en-US" w:eastAsia="zh-CN"/>
              </w:rPr>
              <w:t>年</w:t>
            </w:r>
            <w:r>
              <w:rPr>
                <w:rFonts w:hint="eastAsia" w:cs="Times New Roman"/>
                <w:sz w:val="24"/>
                <w:szCs w:val="24"/>
                <w:lang w:val="en-US" w:eastAsia="zh-CN"/>
              </w:rPr>
              <w:t>实际完成：单位产品能耗</w:t>
            </w:r>
            <w:r>
              <w:rPr>
                <w:rFonts w:hint="eastAsia" w:eastAsia="宋体" w:cs="Times New Roman"/>
                <w:sz w:val="24"/>
                <w:szCs w:val="24"/>
                <w:lang w:val="en-US" w:eastAsia="zh-CN"/>
              </w:rPr>
              <w:t>8.692kgce/t ；</w:t>
            </w:r>
          </w:p>
          <w:p>
            <w:pPr>
              <w:rPr>
                <w:rFonts w:hint="eastAsia" w:eastAsia="宋体" w:cs="Times New Roman"/>
                <w:sz w:val="24"/>
                <w:szCs w:val="24"/>
                <w:lang w:val="en-US" w:eastAsia="zh-CN"/>
              </w:rPr>
            </w:pPr>
            <w:r>
              <w:rPr>
                <w:rFonts w:hint="eastAsia" w:eastAsia="宋体" w:cs="Times New Roman"/>
                <w:sz w:val="24"/>
                <w:szCs w:val="24"/>
                <w:lang w:val="en-US" w:eastAsia="zh-CN"/>
              </w:rPr>
              <w:t>2021年没有完成目标；</w:t>
            </w:r>
          </w:p>
          <w:p>
            <w:pPr>
              <w:rPr>
                <w:rFonts w:hint="eastAsia" w:eastAsia="宋体" w:cs="Times New Roman"/>
                <w:sz w:val="24"/>
                <w:szCs w:val="24"/>
                <w:lang w:val="en-US" w:eastAsia="zh-CN"/>
              </w:rPr>
            </w:pPr>
          </w:p>
          <w:p>
            <w:pPr>
              <w:rPr>
                <w:rFonts w:hint="eastAsia" w:ascii="Times New Roman" w:hAnsi="Times New Roman" w:cs="Times New Roman"/>
                <w:sz w:val="24"/>
                <w:szCs w:val="24"/>
                <w:lang w:val="en-US" w:eastAsia="zh-CN"/>
              </w:rPr>
            </w:pPr>
            <w:r>
              <w:rPr>
                <w:rFonts w:hint="eastAsia" w:eastAsia="宋体" w:cs="Times New Roman"/>
                <w:sz w:val="24"/>
                <w:szCs w:val="24"/>
                <w:lang w:val="en-US" w:eastAsia="zh-CN"/>
              </w:rPr>
              <w:t>2022年目标：</w:t>
            </w:r>
            <w:r>
              <w:rPr>
                <w:rFonts w:hint="eastAsia" w:cs="Times New Roman"/>
                <w:sz w:val="24"/>
                <w:szCs w:val="24"/>
                <w:lang w:val="en-US" w:eastAsia="zh-CN"/>
              </w:rPr>
              <w:t>单位产品能</w:t>
            </w:r>
            <w:r>
              <w:rPr>
                <w:rFonts w:hint="eastAsia" w:eastAsia="宋体" w:cs="Times New Roman"/>
                <w:sz w:val="24"/>
                <w:szCs w:val="24"/>
                <w:lang w:val="en-US" w:eastAsia="zh-CN"/>
              </w:rPr>
              <w:t xml:space="preserve">耗≦8.692kgce/t； </w:t>
            </w:r>
            <w:r>
              <w:rPr>
                <w:rFonts w:hint="eastAsia" w:ascii="Times New Roman" w:hAnsi="Times New Roman" w:cs="Times New Roman"/>
                <w:sz w:val="24"/>
                <w:szCs w:val="24"/>
                <w:lang w:val="en-US" w:eastAsia="zh-CN"/>
              </w:rPr>
              <w:t xml:space="preserve">          </w:t>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w:t>
            </w:r>
            <w:r>
              <w:rPr>
                <w:rFonts w:hint="eastAsia" w:cs="Times New Roman"/>
                <w:sz w:val="24"/>
                <w:szCs w:val="24"/>
                <w:lang w:val="en-US" w:eastAsia="zh-CN"/>
              </w:rPr>
              <w:t>2</w:t>
            </w:r>
            <w:r>
              <w:rPr>
                <w:rFonts w:hint="eastAsia" w:ascii="Times New Roman" w:hAnsi="Times New Roman" w:cs="Times New Roman"/>
                <w:sz w:val="24"/>
                <w:szCs w:val="24"/>
                <w:lang w:val="en-US" w:eastAsia="zh-CN"/>
              </w:rPr>
              <w:t>年</w:t>
            </w:r>
            <w:r>
              <w:rPr>
                <w:rFonts w:hint="eastAsia" w:cs="Times New Roman"/>
                <w:sz w:val="24"/>
                <w:szCs w:val="24"/>
                <w:lang w:val="en-US" w:eastAsia="zh-CN"/>
              </w:rPr>
              <w:t>1-6月份</w:t>
            </w:r>
            <w:r>
              <w:rPr>
                <w:rFonts w:hint="eastAsia" w:ascii="Times New Roman" w:hAnsi="Times New Roman" w:cs="Times New Roman"/>
                <w:sz w:val="24"/>
                <w:szCs w:val="24"/>
                <w:lang w:val="en-US" w:eastAsia="zh-CN"/>
              </w:rPr>
              <w:t>目标完成情况：</w:t>
            </w:r>
            <w:r>
              <w:rPr>
                <w:rFonts w:hint="eastAsia" w:cs="Times New Roman"/>
                <w:sz w:val="24"/>
                <w:szCs w:val="24"/>
                <w:lang w:val="en-US" w:eastAsia="zh-CN"/>
              </w:rPr>
              <w:t>单位产品能</w:t>
            </w:r>
            <w:r>
              <w:rPr>
                <w:rFonts w:hint="eastAsia" w:eastAsia="宋体" w:cs="Times New Roman"/>
                <w:sz w:val="24"/>
                <w:szCs w:val="24"/>
                <w:lang w:val="en-US" w:eastAsia="zh-CN"/>
              </w:rPr>
              <w:t>耗9.80kgce/t ；</w:t>
            </w:r>
          </w:p>
          <w:p>
            <w:pPr>
              <w:rPr>
                <w:rFonts w:hint="default" w:ascii="Times New Roman" w:hAnsi="Times New Roman" w:cs="Times New Roman"/>
                <w:sz w:val="24"/>
                <w:szCs w:val="24"/>
                <w:lang w:val="en-US" w:eastAsia="zh-CN"/>
              </w:rPr>
            </w:pPr>
            <w:r>
              <w:rPr>
                <w:rFonts w:hint="eastAsia" w:cs="Times New Roman"/>
                <w:sz w:val="24"/>
                <w:szCs w:val="24"/>
                <w:lang w:val="en-US" w:eastAsia="zh-CN"/>
              </w:rPr>
              <w:t>没有完成了目标。</w:t>
            </w:r>
          </w:p>
        </w:tc>
        <w:tc>
          <w:tcPr>
            <w:tcW w:w="737" w:type="dxa"/>
            <w:vAlign w:val="top"/>
          </w:tcPr>
          <w:p>
            <w:pPr>
              <w:rPr>
                <w:rFonts w:hint="eastAsia"/>
                <w:sz w:val="24"/>
                <w:szCs w:val="24"/>
              </w:rPr>
            </w:pPr>
          </w:p>
          <w:p>
            <w:pPr>
              <w:pStyle w:val="13"/>
              <w:rPr>
                <w:rFonts w:hint="eastAsia"/>
                <w:sz w:val="24"/>
                <w:szCs w:val="24"/>
              </w:rPr>
            </w:pPr>
          </w:p>
          <w:p>
            <w:pPr>
              <w:pStyle w:val="13"/>
              <w:rPr>
                <w:rFonts w:hint="eastAsia"/>
                <w:sz w:val="24"/>
                <w:szCs w:val="24"/>
              </w:rPr>
            </w:pPr>
          </w:p>
          <w:p>
            <w:pPr>
              <w:ind w:firstLine="240" w:firstLineChars="100"/>
              <w:rPr>
                <w:rFonts w:hint="eastAsia"/>
                <w:sz w:val="24"/>
                <w:szCs w:val="24"/>
                <w:lang w:val="en-US" w:eastAsia="zh-CN"/>
              </w:rPr>
            </w:pPr>
            <w:r>
              <w:rPr>
                <w:rFonts w:hint="eastAsia"/>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rPr>
                <w:rFonts w:hint="default"/>
                <w:sz w:val="24"/>
                <w:szCs w:val="24"/>
                <w:lang w:val="en-US" w:eastAsia="zh-CN"/>
              </w:rPr>
            </w:pPr>
            <w:r>
              <w:rPr>
                <w:rFonts w:hint="eastAsia"/>
                <w:sz w:val="24"/>
                <w:szCs w:val="24"/>
                <w:lang w:val="en-US" w:eastAsia="zh-CN"/>
              </w:rPr>
              <w:t>能源评审</w:t>
            </w:r>
          </w:p>
        </w:tc>
        <w:tc>
          <w:tcPr>
            <w:tcW w:w="960" w:type="dxa"/>
          </w:tcPr>
          <w:p>
            <w:pPr>
              <w:rPr>
                <w:rFonts w:hint="default"/>
                <w:sz w:val="24"/>
                <w:szCs w:val="24"/>
                <w:lang w:val="en-US" w:eastAsia="zh-CN"/>
              </w:rPr>
            </w:pPr>
            <w:r>
              <w:rPr>
                <w:rFonts w:hint="eastAsia"/>
                <w:sz w:val="24"/>
                <w:szCs w:val="24"/>
                <w:lang w:val="en-US" w:eastAsia="zh-CN"/>
              </w:rPr>
              <w:t>En6.3</w:t>
            </w:r>
          </w:p>
        </w:tc>
        <w:tc>
          <w:tcPr>
            <w:tcW w:w="10852" w:type="dxa"/>
          </w:tcPr>
          <w:p>
            <w:pPr>
              <w:rPr>
                <w:rFonts w:hint="eastAsia"/>
                <w:sz w:val="24"/>
                <w:szCs w:val="24"/>
                <w:lang w:val="en-US" w:eastAsia="zh-CN"/>
              </w:rPr>
            </w:pPr>
            <w:r>
              <w:rPr>
                <w:rFonts w:hint="eastAsia"/>
                <w:sz w:val="24"/>
                <w:szCs w:val="24"/>
                <w:lang w:val="en-US" w:eastAsia="zh-CN"/>
              </w:rPr>
              <w:t>提供：“绍兴三雄钢结构有限公司能源评审报告”2022年7月6；内容包括：</w:t>
            </w:r>
          </w:p>
          <w:p>
            <w:pPr>
              <w:rPr>
                <w:rFonts w:hint="eastAsia"/>
                <w:sz w:val="24"/>
                <w:szCs w:val="24"/>
                <w:lang w:val="en-US" w:eastAsia="zh-CN"/>
              </w:rPr>
            </w:pPr>
            <w:r>
              <w:rPr>
                <w:rFonts w:hint="eastAsia"/>
                <w:sz w:val="24"/>
                <w:szCs w:val="24"/>
                <w:lang w:val="en-US" w:eastAsia="zh-CN"/>
              </w:rPr>
              <w:t>能源评审基础信息（目的和范围和边界、评审期、公司能源使用基本情况、淘汰能耗落后工艺、设备概况等）;  公司管理体系覆盖范围包括：</w:t>
            </w:r>
            <w:bookmarkStart w:id="0" w:name="审核范围"/>
            <w:r>
              <w:rPr>
                <w:rFonts w:hint="eastAsia"/>
                <w:sz w:val="24"/>
                <w:szCs w:val="24"/>
                <w:lang w:val="en-US" w:eastAsia="zh-CN"/>
              </w:rPr>
              <w:t>钢结构构件的生产所涉及的能源管理活动</w:t>
            </w:r>
            <w:bookmarkEnd w:id="0"/>
            <w:r>
              <w:rPr>
                <w:rFonts w:hint="eastAsia"/>
                <w:sz w:val="24"/>
                <w:szCs w:val="24"/>
                <w:lang w:val="en-US" w:eastAsia="zh-CN"/>
              </w:rPr>
              <w:t>。</w:t>
            </w:r>
          </w:p>
          <w:p>
            <w:pPr>
              <w:rPr>
                <w:rFonts w:hint="eastAsia"/>
                <w:sz w:val="24"/>
                <w:szCs w:val="24"/>
                <w:lang w:val="en-US" w:eastAsia="zh-CN"/>
              </w:rPr>
            </w:pPr>
            <w:r>
              <w:rPr>
                <w:rFonts w:hint="eastAsia"/>
                <w:sz w:val="24"/>
                <w:szCs w:val="24"/>
                <w:lang w:val="en-US" w:eastAsia="zh-CN"/>
              </w:rPr>
              <w:t>评审期：2021年1月1日～2021年6月30日。</w:t>
            </w:r>
          </w:p>
          <w:p>
            <w:pPr>
              <w:rPr>
                <w:rFonts w:hint="eastAsia"/>
                <w:sz w:val="24"/>
                <w:szCs w:val="24"/>
                <w:lang w:val="en-US" w:eastAsia="zh-CN"/>
              </w:rPr>
            </w:pPr>
            <w:r>
              <w:rPr>
                <w:rFonts w:hint="eastAsia"/>
                <w:sz w:val="24"/>
                <w:szCs w:val="24"/>
                <w:lang w:val="en-US" w:eastAsia="zh-CN"/>
              </w:rPr>
              <w:t>基准期：2020年1月1日～2020年12月31日生产周期内平均值</w:t>
            </w:r>
          </w:p>
          <w:p>
            <w:pPr>
              <w:rPr>
                <w:rFonts w:hint="default"/>
                <w:sz w:val="24"/>
                <w:szCs w:val="24"/>
                <w:lang w:val="en-US" w:eastAsia="zh-CN"/>
              </w:rPr>
            </w:pPr>
            <w:r>
              <w:rPr>
                <w:rFonts w:hint="eastAsia"/>
                <w:sz w:val="24"/>
                <w:szCs w:val="24"/>
                <w:lang w:val="en-US" w:eastAsia="zh-CN"/>
              </w:rPr>
              <w:t>能源管理状况评审（能源方针目标、能源管理组织及职责、能源管理制度、能源管理、能源计量、能源统计管理、能源定额管理、近三年生产和节能技改项目等）；</w:t>
            </w:r>
          </w:p>
          <w:p>
            <w:pPr>
              <w:rPr>
                <w:rFonts w:hint="default"/>
                <w:sz w:val="24"/>
                <w:szCs w:val="24"/>
                <w:lang w:val="en-US" w:eastAsia="zh-CN"/>
              </w:rPr>
            </w:pPr>
            <w:r>
              <w:rPr>
                <w:rFonts w:hint="eastAsia"/>
                <w:sz w:val="24"/>
                <w:szCs w:val="24"/>
                <w:lang w:val="en-US" w:eastAsia="zh-CN"/>
              </w:rPr>
              <w:t>能源利用状况评审（能源消耗结构分析、用能设备能耗分析等）；</w:t>
            </w:r>
          </w:p>
          <w:p>
            <w:pPr>
              <w:rPr>
                <w:rFonts w:hint="default"/>
                <w:sz w:val="24"/>
                <w:szCs w:val="24"/>
                <w:lang w:val="en-US" w:eastAsia="zh-CN"/>
              </w:rPr>
            </w:pPr>
            <w:r>
              <w:rPr>
                <w:rFonts w:hint="eastAsia"/>
                <w:sz w:val="24"/>
                <w:szCs w:val="24"/>
                <w:lang w:val="en-US" w:eastAsia="zh-CN"/>
              </w:rPr>
              <w:t>节能潜力分析和能源绩效优先改进机会识别（管理改进方法、项目改进方法）；</w:t>
            </w:r>
          </w:p>
          <w:p>
            <w:pPr>
              <w:rPr>
                <w:rFonts w:hint="default"/>
                <w:sz w:val="24"/>
                <w:szCs w:val="24"/>
                <w:lang w:val="en-US" w:eastAsia="zh-CN"/>
              </w:rPr>
            </w:pPr>
            <w:r>
              <w:rPr>
                <w:rFonts w:hint="eastAsia"/>
                <w:sz w:val="24"/>
                <w:szCs w:val="24"/>
                <w:lang w:val="en-US" w:eastAsia="zh-CN"/>
              </w:rPr>
              <w:t>未来能源的消耗分析；</w:t>
            </w:r>
          </w:p>
          <w:p>
            <w:pPr>
              <w:rPr>
                <w:rFonts w:hint="default"/>
                <w:sz w:val="24"/>
                <w:szCs w:val="24"/>
                <w:lang w:val="en-US" w:eastAsia="zh-CN"/>
              </w:rPr>
            </w:pPr>
            <w:r>
              <w:rPr>
                <w:rFonts w:hint="eastAsia"/>
                <w:sz w:val="24"/>
                <w:szCs w:val="24"/>
                <w:lang w:val="en-US" w:eastAsia="zh-CN"/>
              </w:rPr>
              <w:t>能源评审输出（能源绩效参数、能源基准和能源目标指标、影响主要能源使用的相关变量和参数控制）；</w:t>
            </w:r>
          </w:p>
          <w:p>
            <w:pPr>
              <w:rPr>
                <w:rFonts w:hint="default"/>
                <w:sz w:val="24"/>
                <w:szCs w:val="24"/>
                <w:lang w:val="en-US" w:eastAsia="zh-CN"/>
              </w:rPr>
            </w:pPr>
            <w:r>
              <w:rPr>
                <w:rFonts w:hint="eastAsia"/>
                <w:sz w:val="24"/>
                <w:szCs w:val="24"/>
                <w:lang w:val="en-US" w:eastAsia="zh-CN"/>
              </w:rPr>
              <w:t>结论和建议（总体评价、建议）</w:t>
            </w:r>
          </w:p>
          <w:p>
            <w:pPr>
              <w:rPr>
                <w:rFonts w:hint="default"/>
                <w:sz w:val="24"/>
                <w:szCs w:val="24"/>
                <w:lang w:val="en-US" w:eastAsia="zh-CN"/>
              </w:rPr>
            </w:pPr>
            <w:r>
              <w:rPr>
                <w:rFonts w:hint="eastAsia"/>
                <w:sz w:val="24"/>
                <w:szCs w:val="24"/>
                <w:lang w:val="en-US" w:eastAsia="zh-CN"/>
              </w:rPr>
              <w:t>以上内容基本满足标准要求。</w:t>
            </w:r>
          </w:p>
        </w:tc>
        <w:tc>
          <w:tcPr>
            <w:tcW w:w="737" w:type="dxa"/>
          </w:tcPr>
          <w:p>
            <w:pPr>
              <w:rPr>
                <w:rFonts w:hint="eastAsia"/>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sz w:val="24"/>
                <w:szCs w:val="24"/>
                <w:lang w:val="en-US" w:eastAsia="zh-CN"/>
              </w:rPr>
            </w:pPr>
            <w:r>
              <w:rPr>
                <w:rFonts w:hint="eastAsia"/>
                <w:sz w:val="24"/>
                <w:szCs w:val="24"/>
                <w:lang w:val="en-US" w:eastAsia="zh-CN"/>
              </w:rPr>
              <w:t>能源绩效参数、能源基准的确定</w:t>
            </w:r>
          </w:p>
        </w:tc>
        <w:tc>
          <w:tcPr>
            <w:tcW w:w="960" w:type="dxa"/>
          </w:tcPr>
          <w:p>
            <w:pPr>
              <w:rPr>
                <w:rFonts w:hint="eastAsia"/>
                <w:sz w:val="24"/>
                <w:szCs w:val="24"/>
                <w:lang w:val="en-US" w:eastAsia="zh-CN"/>
              </w:rPr>
            </w:pPr>
            <w:r>
              <w:rPr>
                <w:rFonts w:hint="eastAsia"/>
                <w:sz w:val="24"/>
                <w:szCs w:val="24"/>
                <w:lang w:val="en-US" w:eastAsia="zh-CN"/>
              </w:rPr>
              <w:t>En6.4/</w:t>
            </w:r>
          </w:p>
          <w:p>
            <w:pPr>
              <w:rPr>
                <w:rFonts w:hint="default"/>
                <w:sz w:val="24"/>
                <w:szCs w:val="24"/>
                <w:lang w:val="en-US" w:eastAsia="zh-CN"/>
              </w:rPr>
            </w:pPr>
            <w:r>
              <w:rPr>
                <w:rFonts w:hint="eastAsia"/>
                <w:sz w:val="24"/>
                <w:szCs w:val="24"/>
                <w:lang w:val="en-US" w:eastAsia="zh-CN"/>
              </w:rPr>
              <w:t>6.5</w:t>
            </w:r>
          </w:p>
        </w:tc>
        <w:tc>
          <w:tcPr>
            <w:tcW w:w="10852" w:type="dxa"/>
          </w:tcPr>
          <w:p>
            <w:pPr>
              <w:rPr>
                <w:rFonts w:hint="eastAsia"/>
                <w:sz w:val="24"/>
                <w:szCs w:val="24"/>
                <w:lang w:val="en-US" w:eastAsia="zh-CN"/>
              </w:rPr>
            </w:pPr>
            <w:r>
              <w:rPr>
                <w:rFonts w:hint="eastAsia"/>
                <w:sz w:val="24"/>
                <w:szCs w:val="24"/>
                <w:lang w:val="en-US" w:eastAsia="zh-CN"/>
              </w:rPr>
              <w:t>该企业根据2020年的生产经营情况进行分析，认为2020年因受市场原因和新冠疫情的影响，企业的生产经营活动处于波动状态，但能源消耗稳定，通过对2020年市场分析和企业的生产规模及与客户的沟通确定2021年的能源绩效参数及能源基准和目标</w:t>
            </w:r>
          </w:p>
          <w:p>
            <w:pPr>
              <w:rPr>
                <w:rFonts w:hint="eastAsia"/>
                <w:sz w:val="24"/>
                <w:szCs w:val="24"/>
                <w:lang w:val="en-US" w:eastAsia="zh-CN"/>
              </w:rPr>
            </w:pPr>
            <w:r>
              <w:rPr>
                <w:rFonts w:hint="eastAsia"/>
                <w:sz w:val="24"/>
                <w:szCs w:val="24"/>
                <w:lang w:val="en-US" w:eastAsia="zh-CN"/>
              </w:rPr>
              <w:t>企业制定的能源绩效参数为：单位产品能耗（kgce/t）</w:t>
            </w:r>
          </w:p>
          <w:p>
            <w:pPr>
              <w:rPr>
                <w:rFonts w:hint="eastAsia"/>
                <w:sz w:val="24"/>
                <w:szCs w:val="24"/>
                <w:lang w:val="en-US" w:eastAsia="zh-CN"/>
              </w:rPr>
            </w:pPr>
            <w:r>
              <w:rPr>
                <w:rFonts w:hint="eastAsia"/>
                <w:sz w:val="24"/>
                <w:szCs w:val="24"/>
                <w:lang w:val="en-US" w:eastAsia="zh-CN"/>
              </w:rPr>
              <w:t>能源基准以上年度实际发生值为基准。</w:t>
            </w:r>
          </w:p>
          <w:p>
            <w:pPr>
              <w:rPr>
                <w:rFonts w:hint="eastAsia"/>
                <w:sz w:val="24"/>
                <w:szCs w:val="24"/>
                <w:lang w:val="en-US" w:eastAsia="zh-CN"/>
              </w:rPr>
            </w:pPr>
            <w:r>
              <w:rPr>
                <w:rFonts w:hint="eastAsia"/>
                <w:sz w:val="24"/>
                <w:szCs w:val="24"/>
                <w:lang w:val="en-US" w:eastAsia="zh-CN"/>
              </w:rPr>
              <w:t>根据能源评审报告分析：2021年绍兴三雄钢结构有限公司的能源绩效参数和能源基准确定如下;</w:t>
            </w:r>
          </w:p>
          <w:p>
            <w:pPr>
              <w:pStyle w:val="2"/>
              <w:rPr>
                <w:rFonts w:hint="default"/>
                <w:lang w:val="en-US" w:eastAsia="zh-CN"/>
              </w:rPr>
            </w:pPr>
            <w:r>
              <w:rPr>
                <w:rFonts w:hint="eastAsia" w:ascii="Times New Roman" w:hAnsi="Times New Roman" w:eastAsia="宋体" w:cs="Times New Roman"/>
                <w:color w:val="auto"/>
                <w:spacing w:val="0"/>
                <w:kern w:val="2"/>
                <w:sz w:val="24"/>
                <w:szCs w:val="24"/>
                <w:lang w:val="en-US" w:eastAsia="zh-CN" w:bidi="ar-SA"/>
              </w:rPr>
              <w:t>202</w:t>
            </w:r>
            <w:r>
              <w:rPr>
                <w:rFonts w:hint="eastAsia" w:eastAsia="宋体" w:cs="Times New Roman"/>
                <w:color w:val="auto"/>
                <w:spacing w:val="0"/>
                <w:kern w:val="2"/>
                <w:sz w:val="24"/>
                <w:szCs w:val="24"/>
                <w:lang w:val="en-US" w:eastAsia="zh-CN" w:bidi="ar-SA"/>
              </w:rPr>
              <w:t>0</w:t>
            </w:r>
            <w:r>
              <w:rPr>
                <w:rFonts w:hint="eastAsia" w:ascii="Times New Roman" w:hAnsi="Times New Roman" w:eastAsia="宋体" w:cs="Times New Roman"/>
                <w:color w:val="auto"/>
                <w:spacing w:val="0"/>
                <w:kern w:val="2"/>
                <w:sz w:val="24"/>
                <w:szCs w:val="24"/>
                <w:lang w:val="en-US" w:eastAsia="zh-CN" w:bidi="ar-SA"/>
              </w:rPr>
              <w:t>年实际完成为：单位产品能源</w:t>
            </w:r>
            <w:r>
              <w:rPr>
                <w:rFonts w:hint="eastAsia" w:eastAsia="宋体" w:cs="Times New Roman"/>
                <w:sz w:val="24"/>
                <w:szCs w:val="24"/>
                <w:lang w:val="en-US" w:eastAsia="zh-CN"/>
              </w:rPr>
              <w:t>8.496kgce/t</w:t>
            </w:r>
            <w:r>
              <w:rPr>
                <w:rFonts w:hint="eastAsia" w:ascii="Times New Roman" w:hAnsi="Times New Roman" w:eastAsia="宋体" w:cs="Times New Roman"/>
                <w:color w:val="auto"/>
                <w:spacing w:val="0"/>
                <w:kern w:val="2"/>
                <w:sz w:val="24"/>
                <w:szCs w:val="24"/>
                <w:lang w:val="en-US" w:eastAsia="zh-CN" w:bidi="ar-SA"/>
              </w:rPr>
              <w:t>，即为202</w:t>
            </w:r>
            <w:r>
              <w:rPr>
                <w:rFonts w:hint="eastAsia" w:eastAsia="宋体" w:cs="Times New Roman"/>
                <w:color w:val="auto"/>
                <w:spacing w:val="0"/>
                <w:kern w:val="2"/>
                <w:sz w:val="24"/>
                <w:szCs w:val="24"/>
                <w:lang w:val="en-US" w:eastAsia="zh-CN" w:bidi="ar-SA"/>
              </w:rPr>
              <w:t>1</w:t>
            </w:r>
            <w:r>
              <w:rPr>
                <w:rFonts w:hint="eastAsia" w:ascii="Times New Roman" w:hAnsi="Times New Roman" w:eastAsia="宋体" w:cs="Times New Roman"/>
                <w:color w:val="auto"/>
                <w:spacing w:val="0"/>
                <w:kern w:val="2"/>
                <w:sz w:val="24"/>
                <w:szCs w:val="24"/>
                <w:lang w:val="en-US" w:eastAsia="zh-CN" w:bidi="ar-SA"/>
              </w:rPr>
              <w:t>年的目标：单位产品能耗≦</w:t>
            </w:r>
            <w:r>
              <w:rPr>
                <w:rFonts w:hint="eastAsia" w:eastAsia="宋体" w:cs="Times New Roman"/>
                <w:sz w:val="24"/>
                <w:szCs w:val="24"/>
                <w:lang w:val="en-US" w:eastAsia="zh-CN"/>
              </w:rPr>
              <w:t>8.496kgce/t</w:t>
            </w:r>
            <w:r>
              <w:rPr>
                <w:rFonts w:hint="eastAsia" w:ascii="Times New Roman" w:hAnsi="Times New Roman" w:eastAsia="宋体" w:cs="Times New Roman"/>
                <w:color w:val="auto"/>
                <w:spacing w:val="0"/>
                <w:kern w:val="2"/>
                <w:sz w:val="24"/>
                <w:szCs w:val="24"/>
                <w:lang w:val="en-US" w:eastAsia="zh-CN" w:bidi="ar-SA"/>
              </w:rPr>
              <w:t>；</w:t>
            </w:r>
          </w:p>
        </w:tc>
        <w:tc>
          <w:tcPr>
            <w:tcW w:w="737" w:type="dxa"/>
          </w:tcPr>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Y</w:t>
            </w:r>
          </w:p>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160" w:type="dxa"/>
          </w:tcPr>
          <w:p>
            <w:pPr>
              <w:rPr>
                <w:rFonts w:hint="default"/>
                <w:sz w:val="24"/>
                <w:szCs w:val="24"/>
                <w:lang w:val="en-US" w:eastAsia="zh-CN"/>
              </w:rPr>
            </w:pPr>
            <w:r>
              <w:rPr>
                <w:rFonts w:hint="eastAsia"/>
                <w:sz w:val="24"/>
                <w:szCs w:val="24"/>
                <w:lang w:val="en-US" w:eastAsia="zh-CN"/>
              </w:rPr>
              <w:t>能源数据的收集策划</w:t>
            </w:r>
          </w:p>
        </w:tc>
        <w:tc>
          <w:tcPr>
            <w:tcW w:w="960" w:type="dxa"/>
          </w:tcPr>
          <w:p>
            <w:pPr>
              <w:rPr>
                <w:rFonts w:hint="default"/>
                <w:sz w:val="24"/>
                <w:szCs w:val="24"/>
                <w:lang w:val="en-US" w:eastAsia="zh-CN"/>
              </w:rPr>
            </w:pPr>
            <w:r>
              <w:rPr>
                <w:rFonts w:hint="eastAsia"/>
                <w:sz w:val="24"/>
                <w:szCs w:val="24"/>
                <w:lang w:val="en-US" w:eastAsia="zh-CN"/>
              </w:rPr>
              <w:t>En6.6</w:t>
            </w:r>
          </w:p>
        </w:tc>
        <w:tc>
          <w:tcPr>
            <w:tcW w:w="10852" w:type="dxa"/>
          </w:tcPr>
          <w:p>
            <w:pPr>
              <w:rPr>
                <w:rFonts w:hint="eastAsia"/>
                <w:sz w:val="24"/>
                <w:szCs w:val="24"/>
                <w:lang w:val="en-US" w:eastAsia="zh-CN"/>
              </w:rPr>
            </w:pPr>
            <w:r>
              <w:rPr>
                <w:rFonts w:hint="eastAsia"/>
                <w:sz w:val="24"/>
                <w:szCs w:val="24"/>
                <w:lang w:val="en-US" w:eastAsia="zh-CN"/>
              </w:rPr>
              <w:t>该企业根据能源统计和能源核算以及成本考核等因素，对能源数据的收集进行了策划，并通过生产统计表（日报表）的形式予以展示，按照数据收集策划的要求对能源消耗进行成本核算和考核，基本满足企业能源管理的要求。</w:t>
            </w:r>
          </w:p>
          <w:p>
            <w:pPr>
              <w:rPr>
                <w:rFonts w:hint="default"/>
                <w:sz w:val="24"/>
                <w:szCs w:val="24"/>
                <w:lang w:val="en-US" w:eastAsia="zh-CN"/>
              </w:rPr>
            </w:pPr>
            <w:r>
              <w:rPr>
                <w:rFonts w:hint="eastAsia"/>
                <w:sz w:val="24"/>
                <w:szCs w:val="24"/>
                <w:lang w:val="en-US" w:eastAsia="zh-CN"/>
              </w:rPr>
              <w:t>但企业并未形成文件化或准则要求，建议企业逐步改进，已与企业进行沟通。</w:t>
            </w:r>
          </w:p>
        </w:tc>
        <w:tc>
          <w:tcPr>
            <w:tcW w:w="737" w:type="dxa"/>
          </w:tcPr>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Y</w:t>
            </w:r>
          </w:p>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160" w:type="dxa"/>
          </w:tcPr>
          <w:p>
            <w:pPr>
              <w:rPr>
                <w:rFonts w:hint="default"/>
                <w:sz w:val="24"/>
                <w:szCs w:val="24"/>
                <w:lang w:val="en-US" w:eastAsia="zh-CN"/>
              </w:rPr>
            </w:pPr>
            <w:r>
              <w:rPr>
                <w:rFonts w:hint="eastAsia"/>
                <w:sz w:val="24"/>
                <w:szCs w:val="24"/>
                <w:lang w:val="en-US" w:eastAsia="zh-CN"/>
              </w:rPr>
              <w:t>运行控制、沟通</w:t>
            </w:r>
          </w:p>
        </w:tc>
        <w:tc>
          <w:tcPr>
            <w:tcW w:w="960" w:type="dxa"/>
          </w:tcPr>
          <w:p>
            <w:pPr>
              <w:rPr>
                <w:rFonts w:hint="eastAsia"/>
                <w:sz w:val="24"/>
                <w:szCs w:val="24"/>
                <w:lang w:val="en-US" w:eastAsia="zh-CN"/>
              </w:rPr>
            </w:pPr>
            <w:r>
              <w:rPr>
                <w:rFonts w:hint="eastAsia"/>
                <w:sz w:val="24"/>
                <w:szCs w:val="24"/>
                <w:lang w:val="en-US" w:eastAsia="zh-CN"/>
              </w:rPr>
              <w:t>En7.4/</w:t>
            </w:r>
          </w:p>
          <w:p>
            <w:pPr>
              <w:rPr>
                <w:rFonts w:hint="default"/>
                <w:sz w:val="24"/>
                <w:szCs w:val="24"/>
                <w:lang w:val="en-US" w:eastAsia="zh-CN"/>
              </w:rPr>
            </w:pPr>
            <w:r>
              <w:rPr>
                <w:rFonts w:hint="eastAsia"/>
                <w:sz w:val="24"/>
                <w:szCs w:val="24"/>
                <w:lang w:val="en-US" w:eastAsia="zh-CN"/>
              </w:rPr>
              <w:t>6.6/</w:t>
            </w:r>
          </w:p>
          <w:p>
            <w:pPr>
              <w:rPr>
                <w:rFonts w:hint="default"/>
                <w:sz w:val="24"/>
                <w:szCs w:val="24"/>
                <w:lang w:val="en-US" w:eastAsia="zh-CN"/>
              </w:rPr>
            </w:pPr>
            <w:r>
              <w:rPr>
                <w:rFonts w:hint="eastAsia"/>
                <w:sz w:val="24"/>
                <w:szCs w:val="24"/>
                <w:lang w:val="en-US" w:eastAsia="zh-CN"/>
              </w:rPr>
              <w:t>8.1/9.1.1</w:t>
            </w:r>
          </w:p>
        </w:tc>
        <w:tc>
          <w:tcPr>
            <w:tcW w:w="10852" w:type="dxa"/>
          </w:tcPr>
          <w:p>
            <w:pPr>
              <w:rPr>
                <w:rFonts w:hint="eastAsia"/>
                <w:sz w:val="24"/>
                <w:szCs w:val="24"/>
                <w:lang w:val="en-US" w:eastAsia="zh-CN"/>
              </w:rPr>
            </w:pPr>
            <w:r>
              <w:rPr>
                <w:rFonts w:hint="eastAsia"/>
                <w:sz w:val="24"/>
                <w:szCs w:val="24"/>
                <w:lang w:val="en-US" w:eastAsia="zh-CN"/>
              </w:rPr>
              <w:t>绍兴三雄钢结构有限公司是一家专业生产钢结构构件的企业，公司产品广泛应用于钢结构厂房中,在发展历程中，秉承“质量和创新是企业生命线”的理念形成具有专业技术的设计团队，配备专业的加工设备和材料检测室，为客户设计和定制实用、安全、经济的钢结构厂房解决方案。</w:t>
            </w:r>
          </w:p>
          <w:p>
            <w:pPr>
              <w:rPr>
                <w:rFonts w:hint="eastAsia"/>
                <w:sz w:val="24"/>
                <w:szCs w:val="24"/>
                <w:lang w:val="en-US" w:eastAsia="zh-CN"/>
              </w:rPr>
            </w:pPr>
            <w:r>
              <w:rPr>
                <w:rFonts w:hint="eastAsia"/>
                <w:sz w:val="24"/>
                <w:szCs w:val="24"/>
                <w:lang w:val="en-US" w:eastAsia="zh-CN"/>
              </w:rPr>
              <w:t xml:space="preserve">通过运用多个数据化管理系统，形成产、供、销科学之规划和管理，并可以完全根据客户之不同要求 设计、制造，以此满足客户需要。 </w:t>
            </w:r>
          </w:p>
          <w:p>
            <w:pPr>
              <w:rPr>
                <w:rFonts w:hint="eastAsia"/>
                <w:sz w:val="24"/>
                <w:szCs w:val="24"/>
                <w:lang w:val="en-US" w:eastAsia="zh-CN"/>
              </w:rPr>
            </w:pPr>
          </w:p>
          <w:p>
            <w:pPr>
              <w:numPr>
                <w:ilvl w:val="0"/>
                <w:numId w:val="1"/>
              </w:numPr>
              <w:rPr>
                <w:rFonts w:hint="eastAsia"/>
                <w:sz w:val="24"/>
                <w:szCs w:val="24"/>
                <w:lang w:val="en-US" w:eastAsia="zh-CN"/>
              </w:rPr>
            </w:pPr>
            <w:r>
              <w:rPr>
                <w:rFonts w:hint="eastAsia"/>
                <w:sz w:val="24"/>
                <w:szCs w:val="24"/>
                <w:lang w:val="en-US" w:eastAsia="zh-CN"/>
              </w:rPr>
              <w:t>工艺流程：</w:t>
            </w:r>
          </w:p>
          <w:p>
            <w:pPr>
              <w:pStyle w:val="9"/>
              <w:numPr>
                <w:ilvl w:val="0"/>
                <w:numId w:val="0"/>
              </w:numPr>
              <w:rPr>
                <w:rFonts w:hint="default"/>
                <w:lang w:val="en-US" w:eastAsia="zh-CN"/>
              </w:rPr>
            </w:pPr>
            <w:r>
              <w:rPr>
                <w:rFonts w:hint="eastAsia" w:asciiTheme="minorEastAsia" w:hAnsiTheme="minorEastAsia" w:cstheme="minorEastAsia"/>
                <w:color w:val="000000"/>
                <w:kern w:val="0"/>
                <w:sz w:val="28"/>
                <w:szCs w:val="28"/>
                <w:lang w:val="en-US" w:eastAsia="zh-CN"/>
              </w:rPr>
              <w:t>采购→钢板切割→开槽→埋弧焊→型钢下料→大组立→焊接→抛丸→喷漆→包装</w:t>
            </w:r>
          </w:p>
          <w:p>
            <w:pPr>
              <w:rPr>
                <w:rFonts w:hint="default"/>
                <w:sz w:val="24"/>
                <w:szCs w:val="24"/>
                <w:lang w:val="en-US" w:eastAsia="zh-CN"/>
              </w:rPr>
            </w:pPr>
            <w:r>
              <w:rPr>
                <w:rFonts w:hint="eastAsia"/>
                <w:sz w:val="24"/>
                <w:szCs w:val="24"/>
                <w:lang w:val="en-US" w:eastAsia="zh-CN"/>
              </w:rPr>
              <w:t>生产控制情况：生产中主要生产设备是：</w:t>
            </w:r>
            <w:r>
              <w:rPr>
                <w:rFonts w:hint="eastAsia" w:eastAsia="宋体"/>
                <w:sz w:val="24"/>
                <w:szCs w:val="24"/>
                <w:lang w:val="en-US" w:eastAsia="zh-CN"/>
              </w:rPr>
              <w:t>电焊机，起重机，冲孔机、油漆喷涂机、空压机</w:t>
            </w:r>
            <w:r>
              <w:rPr>
                <w:rFonts w:hint="eastAsia"/>
                <w:sz w:val="24"/>
                <w:szCs w:val="24"/>
                <w:lang w:val="en-US" w:eastAsia="zh-CN"/>
              </w:rPr>
              <w:t>等。</w:t>
            </w:r>
          </w:p>
          <w:p>
            <w:pPr>
              <w:rPr>
                <w:rFonts w:hint="eastAsia"/>
                <w:sz w:val="24"/>
                <w:szCs w:val="24"/>
                <w:lang w:val="en-US" w:eastAsia="zh-CN"/>
              </w:rPr>
            </w:pPr>
            <w:r>
              <w:rPr>
                <w:rFonts w:hint="eastAsia"/>
                <w:sz w:val="24"/>
                <w:szCs w:val="24"/>
                <w:lang w:val="en-US" w:eastAsia="zh-CN"/>
              </w:rPr>
              <w:t>抽查：2021年1-12月份生产统计表（月报表）和2022年1-6月份生产统计表（月报表）分析能耗耗与产品的消耗等数据，对能源消耗进行控制。</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三、设备管理</w:t>
            </w:r>
          </w:p>
          <w:p>
            <w:pPr>
              <w:rPr>
                <w:rFonts w:hint="eastAsia"/>
                <w:sz w:val="24"/>
                <w:szCs w:val="24"/>
                <w:lang w:val="en-US" w:eastAsia="zh-CN"/>
              </w:rPr>
            </w:pPr>
            <w:r>
              <w:rPr>
                <w:rFonts w:hint="eastAsia"/>
                <w:sz w:val="24"/>
                <w:szCs w:val="24"/>
                <w:lang w:val="en-US" w:eastAsia="zh-CN"/>
              </w:rPr>
              <w:t>提供：设备管理制度及生产设备台账，编制了设备管理制度和生产设备台账，主要生产设备共96台套。</w:t>
            </w:r>
          </w:p>
          <w:p>
            <w:pPr>
              <w:rPr>
                <w:rFonts w:hint="eastAsia"/>
                <w:sz w:val="24"/>
                <w:szCs w:val="24"/>
                <w:lang w:val="en-US" w:eastAsia="zh-CN"/>
              </w:rPr>
            </w:pPr>
          </w:p>
          <w:p>
            <w:pPr>
              <w:rPr>
                <w:rFonts w:hint="eastAsia"/>
                <w:sz w:val="24"/>
                <w:szCs w:val="24"/>
                <w:lang w:val="en-US" w:eastAsia="zh-CN"/>
              </w:rPr>
            </w:pPr>
          </w:p>
          <w:p>
            <w:pPr>
              <w:numPr>
                <w:ilvl w:val="0"/>
                <w:numId w:val="2"/>
              </w:numPr>
              <w:rPr>
                <w:rFonts w:hint="eastAsia"/>
                <w:sz w:val="24"/>
                <w:szCs w:val="24"/>
                <w:lang w:val="en-US" w:eastAsia="zh-CN"/>
              </w:rPr>
            </w:pPr>
            <w:r>
              <w:rPr>
                <w:rFonts w:hint="eastAsia"/>
                <w:sz w:val="24"/>
                <w:szCs w:val="24"/>
                <w:lang w:val="en-US" w:eastAsia="zh-CN"/>
              </w:rPr>
              <w:t>能源计量管理：</w:t>
            </w:r>
          </w:p>
          <w:p>
            <w:pPr>
              <w:rPr>
                <w:rFonts w:hint="default"/>
                <w:sz w:val="24"/>
                <w:szCs w:val="24"/>
                <w:lang w:val="en-US" w:eastAsia="zh-CN"/>
              </w:rPr>
            </w:pPr>
            <w:r>
              <w:rPr>
                <w:rFonts w:hint="eastAsia"/>
                <w:sz w:val="24"/>
                <w:szCs w:val="24"/>
                <w:lang w:val="en-US" w:eastAsia="zh-CN"/>
              </w:rPr>
              <w:t>提供：能源测量设备统计表，水、电各一台进户表，二级电表配备2个，各车间一个。车间中的抛丸机、漆雾处理机大于200kw，各自配备一台电表。</w:t>
            </w:r>
          </w:p>
          <w:tbl>
            <w:tblPr>
              <w:tblStyle w:val="10"/>
              <w:tblpPr w:leftFromText="180" w:rightFromText="180" w:vertAnchor="page" w:horzAnchor="page" w:tblpX="206" w:tblpY="3123"/>
              <w:tblOverlap w:val="never"/>
              <w:tblW w:w="49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7"/>
              <w:gridCol w:w="770"/>
              <w:gridCol w:w="592"/>
              <w:gridCol w:w="592"/>
              <w:gridCol w:w="652"/>
              <w:gridCol w:w="661"/>
              <w:gridCol w:w="678"/>
              <w:gridCol w:w="519"/>
              <w:gridCol w:w="511"/>
              <w:gridCol w:w="611"/>
              <w:gridCol w:w="589"/>
              <w:gridCol w:w="687"/>
              <w:gridCol w:w="513"/>
              <w:gridCol w:w="508"/>
              <w:gridCol w:w="689"/>
              <w:gridCol w:w="684"/>
              <w:gridCol w:w="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04" w:type="dxa"/>
                  <w:vMerge w:val="restart"/>
                  <w:vAlign w:val="center"/>
                </w:tcPr>
                <w:p>
                  <w:pPr>
                    <w:rPr>
                      <w:sz w:val="24"/>
                      <w:szCs w:val="24"/>
                    </w:rPr>
                  </w:pPr>
                  <w:r>
                    <w:rPr>
                      <w:rFonts w:hint="eastAsia"/>
                      <w:sz w:val="24"/>
                      <w:szCs w:val="24"/>
                    </w:rPr>
                    <w:t>序号</w:t>
                  </w:r>
                </w:p>
              </w:tc>
              <w:tc>
                <w:tcPr>
                  <w:tcW w:w="619" w:type="dxa"/>
                  <w:vMerge w:val="restart"/>
                  <w:vAlign w:val="center"/>
                </w:tcPr>
                <w:p>
                  <w:pPr>
                    <w:rPr>
                      <w:sz w:val="24"/>
                      <w:szCs w:val="24"/>
                    </w:rPr>
                  </w:pPr>
                  <w:r>
                    <w:rPr>
                      <w:rFonts w:hint="eastAsia"/>
                      <w:sz w:val="24"/>
                      <w:szCs w:val="24"/>
                    </w:rPr>
                    <w:t>能源计量类别</w:t>
                  </w:r>
                </w:p>
              </w:tc>
              <w:tc>
                <w:tcPr>
                  <w:tcW w:w="2552" w:type="dxa"/>
                  <w:gridSpan w:val="5"/>
                  <w:vAlign w:val="center"/>
                </w:tcPr>
                <w:p>
                  <w:pPr>
                    <w:rPr>
                      <w:sz w:val="24"/>
                      <w:szCs w:val="24"/>
                    </w:rPr>
                  </w:pPr>
                  <w:r>
                    <w:rPr>
                      <w:rFonts w:hint="eastAsia"/>
                      <w:sz w:val="24"/>
                      <w:szCs w:val="24"/>
                    </w:rPr>
                    <w:t>进出用能单位</w:t>
                  </w:r>
                </w:p>
              </w:tc>
              <w:tc>
                <w:tcPr>
                  <w:tcW w:w="2344" w:type="dxa"/>
                  <w:gridSpan w:val="5"/>
                  <w:vAlign w:val="center"/>
                </w:tcPr>
                <w:p>
                  <w:pPr>
                    <w:rPr>
                      <w:sz w:val="24"/>
                      <w:szCs w:val="24"/>
                    </w:rPr>
                  </w:pPr>
                  <w:r>
                    <w:rPr>
                      <w:rFonts w:hint="eastAsia"/>
                      <w:sz w:val="24"/>
                      <w:szCs w:val="24"/>
                    </w:rPr>
                    <w:t>进出主要次级用能单位</w:t>
                  </w:r>
                </w:p>
              </w:tc>
              <w:tc>
                <w:tcPr>
                  <w:tcW w:w="2477" w:type="dxa"/>
                  <w:gridSpan w:val="5"/>
                  <w:vAlign w:val="center"/>
                </w:tcPr>
                <w:p>
                  <w:pPr>
                    <w:rPr>
                      <w:sz w:val="24"/>
                      <w:szCs w:val="24"/>
                    </w:rPr>
                  </w:pPr>
                  <w:r>
                    <w:rPr>
                      <w:rFonts w:hint="eastAsia"/>
                      <w:sz w:val="24"/>
                      <w:szCs w:val="24"/>
                    </w:rPr>
                    <w:t>主要用能设备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504" w:type="dxa"/>
                  <w:vMerge w:val="continue"/>
                  <w:vAlign w:val="center"/>
                </w:tcPr>
                <w:p>
                  <w:pPr>
                    <w:rPr>
                      <w:sz w:val="24"/>
                      <w:szCs w:val="24"/>
                    </w:rPr>
                  </w:pPr>
                </w:p>
              </w:tc>
              <w:tc>
                <w:tcPr>
                  <w:tcW w:w="619" w:type="dxa"/>
                  <w:vMerge w:val="continue"/>
                  <w:vAlign w:val="center"/>
                </w:tcPr>
                <w:p>
                  <w:pPr>
                    <w:rPr>
                      <w:sz w:val="24"/>
                      <w:szCs w:val="24"/>
                    </w:rPr>
                  </w:pPr>
                </w:p>
              </w:tc>
              <w:tc>
                <w:tcPr>
                  <w:tcW w:w="476" w:type="dxa"/>
                  <w:vAlign w:val="center"/>
                </w:tcPr>
                <w:p>
                  <w:pPr>
                    <w:rPr>
                      <w:sz w:val="24"/>
                      <w:szCs w:val="24"/>
                    </w:rPr>
                  </w:pPr>
                  <w:r>
                    <w:rPr>
                      <w:rFonts w:hint="eastAsia"/>
                      <w:sz w:val="24"/>
                      <w:szCs w:val="24"/>
                    </w:rPr>
                    <w:t>应装数</w:t>
                  </w:r>
                </w:p>
              </w:tc>
              <w:tc>
                <w:tcPr>
                  <w:tcW w:w="476" w:type="dxa"/>
                  <w:vAlign w:val="center"/>
                </w:tcPr>
                <w:p>
                  <w:pPr>
                    <w:rPr>
                      <w:sz w:val="24"/>
                      <w:szCs w:val="24"/>
                    </w:rPr>
                  </w:pPr>
                  <w:r>
                    <w:rPr>
                      <w:rFonts w:hint="eastAsia"/>
                      <w:sz w:val="24"/>
                      <w:szCs w:val="24"/>
                    </w:rPr>
                    <w:t>安装数</w:t>
                  </w:r>
                </w:p>
              </w:tc>
              <w:tc>
                <w:tcPr>
                  <w:tcW w:w="524" w:type="dxa"/>
                  <w:vAlign w:val="center"/>
                </w:tcPr>
                <w:p>
                  <w:pPr>
                    <w:rPr>
                      <w:sz w:val="24"/>
                      <w:szCs w:val="24"/>
                    </w:rPr>
                  </w:pPr>
                  <w:r>
                    <w:rPr>
                      <w:rFonts w:hint="eastAsia"/>
                      <w:sz w:val="24"/>
                      <w:szCs w:val="24"/>
                    </w:rPr>
                    <w:t>应配备率</w:t>
                  </w:r>
                </w:p>
              </w:tc>
              <w:tc>
                <w:tcPr>
                  <w:tcW w:w="531" w:type="dxa"/>
                  <w:vAlign w:val="center"/>
                </w:tcPr>
                <w:p>
                  <w:pPr>
                    <w:rPr>
                      <w:sz w:val="24"/>
                      <w:szCs w:val="24"/>
                    </w:rPr>
                  </w:pPr>
                  <w:r>
                    <w:rPr>
                      <w:rFonts w:hint="eastAsia"/>
                      <w:sz w:val="24"/>
                      <w:szCs w:val="24"/>
                    </w:rPr>
                    <w:t>配备率</w:t>
                  </w:r>
                </w:p>
              </w:tc>
              <w:tc>
                <w:tcPr>
                  <w:tcW w:w="545" w:type="dxa"/>
                  <w:vAlign w:val="center"/>
                </w:tcPr>
                <w:p>
                  <w:pPr>
                    <w:rPr>
                      <w:sz w:val="24"/>
                      <w:szCs w:val="24"/>
                    </w:rPr>
                  </w:pPr>
                  <w:r>
                    <w:rPr>
                      <w:rFonts w:hint="eastAsia"/>
                      <w:sz w:val="24"/>
                      <w:szCs w:val="24"/>
                    </w:rPr>
                    <w:t>完好率</w:t>
                  </w:r>
                </w:p>
              </w:tc>
              <w:tc>
                <w:tcPr>
                  <w:tcW w:w="417" w:type="dxa"/>
                  <w:vAlign w:val="center"/>
                </w:tcPr>
                <w:p>
                  <w:pPr>
                    <w:rPr>
                      <w:sz w:val="24"/>
                      <w:szCs w:val="24"/>
                    </w:rPr>
                  </w:pPr>
                  <w:r>
                    <w:rPr>
                      <w:rFonts w:hint="eastAsia"/>
                      <w:sz w:val="24"/>
                      <w:szCs w:val="24"/>
                    </w:rPr>
                    <w:t>应装数</w:t>
                  </w:r>
                </w:p>
              </w:tc>
              <w:tc>
                <w:tcPr>
                  <w:tcW w:w="411" w:type="dxa"/>
                  <w:vAlign w:val="center"/>
                </w:tcPr>
                <w:p>
                  <w:pPr>
                    <w:rPr>
                      <w:sz w:val="24"/>
                      <w:szCs w:val="24"/>
                    </w:rPr>
                  </w:pPr>
                  <w:r>
                    <w:rPr>
                      <w:rFonts w:hint="eastAsia"/>
                      <w:sz w:val="24"/>
                      <w:szCs w:val="24"/>
                    </w:rPr>
                    <w:t>安装数</w:t>
                  </w:r>
                </w:p>
              </w:tc>
              <w:tc>
                <w:tcPr>
                  <w:tcW w:w="491" w:type="dxa"/>
                  <w:vAlign w:val="center"/>
                </w:tcPr>
                <w:p>
                  <w:pPr>
                    <w:rPr>
                      <w:sz w:val="24"/>
                      <w:szCs w:val="24"/>
                    </w:rPr>
                  </w:pPr>
                  <w:r>
                    <w:rPr>
                      <w:rFonts w:hint="eastAsia"/>
                      <w:sz w:val="24"/>
                      <w:szCs w:val="24"/>
                    </w:rPr>
                    <w:t>应配备率</w:t>
                  </w:r>
                </w:p>
              </w:tc>
              <w:tc>
                <w:tcPr>
                  <w:tcW w:w="473" w:type="dxa"/>
                  <w:vAlign w:val="center"/>
                </w:tcPr>
                <w:p>
                  <w:pPr>
                    <w:rPr>
                      <w:sz w:val="24"/>
                      <w:szCs w:val="24"/>
                    </w:rPr>
                  </w:pPr>
                  <w:r>
                    <w:rPr>
                      <w:rFonts w:hint="eastAsia"/>
                      <w:sz w:val="24"/>
                      <w:szCs w:val="24"/>
                    </w:rPr>
                    <w:t>配备率</w:t>
                  </w:r>
                </w:p>
              </w:tc>
              <w:tc>
                <w:tcPr>
                  <w:tcW w:w="552" w:type="dxa"/>
                  <w:vAlign w:val="center"/>
                </w:tcPr>
                <w:p>
                  <w:pPr>
                    <w:rPr>
                      <w:sz w:val="24"/>
                      <w:szCs w:val="24"/>
                    </w:rPr>
                  </w:pPr>
                  <w:r>
                    <w:rPr>
                      <w:rFonts w:hint="eastAsia"/>
                      <w:sz w:val="24"/>
                      <w:szCs w:val="24"/>
                    </w:rPr>
                    <w:t>完好率</w:t>
                  </w:r>
                </w:p>
              </w:tc>
              <w:tc>
                <w:tcPr>
                  <w:tcW w:w="412" w:type="dxa"/>
                  <w:vAlign w:val="center"/>
                </w:tcPr>
                <w:p>
                  <w:pPr>
                    <w:rPr>
                      <w:sz w:val="24"/>
                      <w:szCs w:val="24"/>
                    </w:rPr>
                  </w:pPr>
                  <w:r>
                    <w:rPr>
                      <w:rFonts w:hint="eastAsia"/>
                      <w:sz w:val="24"/>
                      <w:szCs w:val="24"/>
                    </w:rPr>
                    <w:t>应装数</w:t>
                  </w:r>
                </w:p>
              </w:tc>
              <w:tc>
                <w:tcPr>
                  <w:tcW w:w="408" w:type="dxa"/>
                  <w:vAlign w:val="center"/>
                </w:tcPr>
                <w:p>
                  <w:pPr>
                    <w:rPr>
                      <w:sz w:val="24"/>
                      <w:szCs w:val="24"/>
                    </w:rPr>
                  </w:pPr>
                  <w:r>
                    <w:rPr>
                      <w:rFonts w:hint="eastAsia"/>
                      <w:sz w:val="24"/>
                      <w:szCs w:val="24"/>
                    </w:rPr>
                    <w:t>安装数</w:t>
                  </w:r>
                </w:p>
              </w:tc>
              <w:tc>
                <w:tcPr>
                  <w:tcW w:w="554" w:type="dxa"/>
                  <w:vAlign w:val="center"/>
                </w:tcPr>
                <w:p>
                  <w:pPr>
                    <w:rPr>
                      <w:sz w:val="24"/>
                      <w:szCs w:val="24"/>
                    </w:rPr>
                  </w:pPr>
                  <w:r>
                    <w:rPr>
                      <w:rFonts w:hint="eastAsia"/>
                      <w:sz w:val="24"/>
                      <w:szCs w:val="24"/>
                    </w:rPr>
                    <w:t>应配备率</w:t>
                  </w:r>
                </w:p>
              </w:tc>
              <w:tc>
                <w:tcPr>
                  <w:tcW w:w="550" w:type="dxa"/>
                  <w:vAlign w:val="center"/>
                </w:tcPr>
                <w:p>
                  <w:pPr>
                    <w:rPr>
                      <w:sz w:val="24"/>
                      <w:szCs w:val="24"/>
                    </w:rPr>
                  </w:pPr>
                  <w:r>
                    <w:rPr>
                      <w:rFonts w:hint="eastAsia"/>
                      <w:sz w:val="24"/>
                      <w:szCs w:val="24"/>
                    </w:rPr>
                    <w:t>配备率</w:t>
                  </w:r>
                </w:p>
              </w:tc>
              <w:tc>
                <w:tcPr>
                  <w:tcW w:w="553" w:type="dxa"/>
                  <w:vAlign w:val="center"/>
                </w:tcPr>
                <w:p>
                  <w:pPr>
                    <w:rPr>
                      <w:sz w:val="24"/>
                      <w:szCs w:val="24"/>
                    </w:rPr>
                  </w:pPr>
                  <w:r>
                    <w:rPr>
                      <w:rFonts w:hint="eastAsia"/>
                      <w:sz w:val="24"/>
                      <w:szCs w:val="24"/>
                    </w:rPr>
                    <w:t>完好率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04" w:type="dxa"/>
                  <w:vMerge w:val="continue"/>
                  <w:vAlign w:val="center"/>
                </w:tcPr>
                <w:p>
                  <w:pPr>
                    <w:rPr>
                      <w:sz w:val="24"/>
                      <w:szCs w:val="24"/>
                    </w:rPr>
                  </w:pPr>
                </w:p>
              </w:tc>
              <w:tc>
                <w:tcPr>
                  <w:tcW w:w="619" w:type="dxa"/>
                  <w:vMerge w:val="continue"/>
                  <w:vAlign w:val="center"/>
                </w:tcPr>
                <w:p>
                  <w:pPr>
                    <w:rPr>
                      <w:sz w:val="24"/>
                      <w:szCs w:val="24"/>
                    </w:rPr>
                  </w:pPr>
                </w:p>
              </w:tc>
              <w:tc>
                <w:tcPr>
                  <w:tcW w:w="476" w:type="dxa"/>
                  <w:vAlign w:val="center"/>
                </w:tcPr>
                <w:p>
                  <w:pPr>
                    <w:rPr>
                      <w:sz w:val="24"/>
                      <w:szCs w:val="24"/>
                    </w:rPr>
                  </w:pPr>
                  <w:r>
                    <w:rPr>
                      <w:rFonts w:hint="eastAsia"/>
                      <w:sz w:val="24"/>
                      <w:szCs w:val="24"/>
                    </w:rPr>
                    <w:t>台</w:t>
                  </w:r>
                </w:p>
              </w:tc>
              <w:tc>
                <w:tcPr>
                  <w:tcW w:w="476" w:type="dxa"/>
                  <w:vAlign w:val="center"/>
                </w:tcPr>
                <w:p>
                  <w:pPr>
                    <w:rPr>
                      <w:sz w:val="24"/>
                      <w:szCs w:val="24"/>
                    </w:rPr>
                  </w:pPr>
                  <w:r>
                    <w:rPr>
                      <w:rFonts w:hint="eastAsia"/>
                      <w:sz w:val="24"/>
                      <w:szCs w:val="24"/>
                    </w:rPr>
                    <w:t>台</w:t>
                  </w:r>
                </w:p>
              </w:tc>
              <w:tc>
                <w:tcPr>
                  <w:tcW w:w="524" w:type="dxa"/>
                  <w:vAlign w:val="center"/>
                </w:tcPr>
                <w:p>
                  <w:pPr>
                    <w:rPr>
                      <w:sz w:val="24"/>
                      <w:szCs w:val="24"/>
                    </w:rPr>
                  </w:pPr>
                  <w:r>
                    <w:rPr>
                      <w:rFonts w:hint="eastAsia"/>
                      <w:sz w:val="24"/>
                      <w:szCs w:val="24"/>
                    </w:rPr>
                    <w:t>％</w:t>
                  </w:r>
                </w:p>
              </w:tc>
              <w:tc>
                <w:tcPr>
                  <w:tcW w:w="531" w:type="dxa"/>
                  <w:vAlign w:val="center"/>
                </w:tcPr>
                <w:p>
                  <w:pPr>
                    <w:rPr>
                      <w:sz w:val="24"/>
                      <w:szCs w:val="24"/>
                    </w:rPr>
                  </w:pPr>
                  <w:r>
                    <w:rPr>
                      <w:rFonts w:hint="eastAsia"/>
                      <w:sz w:val="24"/>
                      <w:szCs w:val="24"/>
                    </w:rPr>
                    <w:t>％</w:t>
                  </w:r>
                </w:p>
              </w:tc>
              <w:tc>
                <w:tcPr>
                  <w:tcW w:w="545" w:type="dxa"/>
                  <w:vAlign w:val="center"/>
                </w:tcPr>
                <w:p>
                  <w:pPr>
                    <w:rPr>
                      <w:sz w:val="24"/>
                      <w:szCs w:val="24"/>
                    </w:rPr>
                  </w:pPr>
                  <w:r>
                    <w:rPr>
                      <w:rFonts w:hint="eastAsia"/>
                      <w:sz w:val="24"/>
                      <w:szCs w:val="24"/>
                    </w:rPr>
                    <w:t>％</w:t>
                  </w:r>
                </w:p>
              </w:tc>
              <w:tc>
                <w:tcPr>
                  <w:tcW w:w="417" w:type="dxa"/>
                  <w:vAlign w:val="center"/>
                </w:tcPr>
                <w:p>
                  <w:pPr>
                    <w:rPr>
                      <w:sz w:val="24"/>
                      <w:szCs w:val="24"/>
                    </w:rPr>
                  </w:pPr>
                  <w:r>
                    <w:rPr>
                      <w:rFonts w:hint="eastAsia"/>
                      <w:sz w:val="24"/>
                      <w:szCs w:val="24"/>
                    </w:rPr>
                    <w:t>台</w:t>
                  </w:r>
                </w:p>
              </w:tc>
              <w:tc>
                <w:tcPr>
                  <w:tcW w:w="411" w:type="dxa"/>
                  <w:vAlign w:val="center"/>
                </w:tcPr>
                <w:p>
                  <w:pPr>
                    <w:rPr>
                      <w:sz w:val="24"/>
                      <w:szCs w:val="24"/>
                    </w:rPr>
                  </w:pPr>
                  <w:r>
                    <w:rPr>
                      <w:rFonts w:hint="eastAsia"/>
                      <w:sz w:val="24"/>
                      <w:szCs w:val="24"/>
                    </w:rPr>
                    <w:t>台</w:t>
                  </w:r>
                </w:p>
              </w:tc>
              <w:tc>
                <w:tcPr>
                  <w:tcW w:w="491" w:type="dxa"/>
                  <w:vAlign w:val="center"/>
                </w:tcPr>
                <w:p>
                  <w:pPr>
                    <w:rPr>
                      <w:sz w:val="24"/>
                      <w:szCs w:val="24"/>
                    </w:rPr>
                  </w:pPr>
                  <w:r>
                    <w:rPr>
                      <w:rFonts w:hint="eastAsia"/>
                      <w:sz w:val="24"/>
                      <w:szCs w:val="24"/>
                    </w:rPr>
                    <w:t>％</w:t>
                  </w:r>
                </w:p>
              </w:tc>
              <w:tc>
                <w:tcPr>
                  <w:tcW w:w="473" w:type="dxa"/>
                  <w:vAlign w:val="center"/>
                </w:tcPr>
                <w:p>
                  <w:pPr>
                    <w:rPr>
                      <w:sz w:val="24"/>
                      <w:szCs w:val="24"/>
                    </w:rPr>
                  </w:pPr>
                  <w:r>
                    <w:rPr>
                      <w:rFonts w:hint="eastAsia"/>
                      <w:sz w:val="24"/>
                      <w:szCs w:val="24"/>
                    </w:rPr>
                    <w:t>％</w:t>
                  </w:r>
                </w:p>
              </w:tc>
              <w:tc>
                <w:tcPr>
                  <w:tcW w:w="552" w:type="dxa"/>
                  <w:vAlign w:val="center"/>
                </w:tcPr>
                <w:p>
                  <w:pPr>
                    <w:rPr>
                      <w:sz w:val="24"/>
                      <w:szCs w:val="24"/>
                    </w:rPr>
                  </w:pPr>
                  <w:r>
                    <w:rPr>
                      <w:rFonts w:hint="eastAsia"/>
                      <w:sz w:val="24"/>
                      <w:szCs w:val="24"/>
                    </w:rPr>
                    <w:t>％</w:t>
                  </w:r>
                </w:p>
              </w:tc>
              <w:tc>
                <w:tcPr>
                  <w:tcW w:w="412" w:type="dxa"/>
                  <w:vAlign w:val="center"/>
                </w:tcPr>
                <w:p>
                  <w:pPr>
                    <w:rPr>
                      <w:sz w:val="24"/>
                      <w:szCs w:val="24"/>
                    </w:rPr>
                  </w:pPr>
                  <w:r>
                    <w:rPr>
                      <w:rFonts w:hint="eastAsia"/>
                      <w:sz w:val="24"/>
                      <w:szCs w:val="24"/>
                    </w:rPr>
                    <w:t>台</w:t>
                  </w:r>
                </w:p>
              </w:tc>
              <w:tc>
                <w:tcPr>
                  <w:tcW w:w="408" w:type="dxa"/>
                  <w:vAlign w:val="center"/>
                </w:tcPr>
                <w:p>
                  <w:pPr>
                    <w:rPr>
                      <w:sz w:val="24"/>
                      <w:szCs w:val="24"/>
                    </w:rPr>
                  </w:pPr>
                  <w:r>
                    <w:rPr>
                      <w:rFonts w:hint="eastAsia"/>
                      <w:sz w:val="24"/>
                      <w:szCs w:val="24"/>
                    </w:rPr>
                    <w:t>台</w:t>
                  </w:r>
                </w:p>
              </w:tc>
              <w:tc>
                <w:tcPr>
                  <w:tcW w:w="554" w:type="dxa"/>
                  <w:vAlign w:val="center"/>
                </w:tcPr>
                <w:p>
                  <w:pPr>
                    <w:rPr>
                      <w:sz w:val="24"/>
                      <w:szCs w:val="24"/>
                    </w:rPr>
                  </w:pPr>
                  <w:r>
                    <w:rPr>
                      <w:rFonts w:hint="eastAsia"/>
                      <w:sz w:val="24"/>
                      <w:szCs w:val="24"/>
                    </w:rPr>
                    <w:t>％</w:t>
                  </w:r>
                </w:p>
              </w:tc>
              <w:tc>
                <w:tcPr>
                  <w:tcW w:w="550" w:type="dxa"/>
                  <w:vAlign w:val="center"/>
                </w:tcPr>
                <w:p>
                  <w:pPr>
                    <w:rPr>
                      <w:sz w:val="24"/>
                      <w:szCs w:val="24"/>
                    </w:rPr>
                  </w:pPr>
                  <w:r>
                    <w:rPr>
                      <w:rFonts w:hint="eastAsia"/>
                      <w:sz w:val="24"/>
                      <w:szCs w:val="24"/>
                    </w:rPr>
                    <w:t>％</w:t>
                  </w:r>
                </w:p>
              </w:tc>
              <w:tc>
                <w:tcPr>
                  <w:tcW w:w="553" w:type="dxa"/>
                  <w:vAlign w:val="center"/>
                </w:tcPr>
                <w:p>
                  <w:pPr>
                    <w:rPr>
                      <w:sz w:val="24"/>
                      <w:szCs w:val="24"/>
                    </w:rPr>
                  </w:pPr>
                  <w:r>
                    <w:rPr>
                      <w:rFonts w:hint="eastAsia"/>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04" w:type="dxa"/>
                  <w:vAlign w:val="center"/>
                </w:tcPr>
                <w:p>
                  <w:pPr>
                    <w:rPr>
                      <w:sz w:val="24"/>
                      <w:szCs w:val="24"/>
                    </w:rPr>
                  </w:pPr>
                  <w:r>
                    <w:rPr>
                      <w:rFonts w:hint="eastAsia"/>
                      <w:sz w:val="24"/>
                      <w:szCs w:val="24"/>
                    </w:rPr>
                    <w:t>1</w:t>
                  </w:r>
                </w:p>
              </w:tc>
              <w:tc>
                <w:tcPr>
                  <w:tcW w:w="619" w:type="dxa"/>
                  <w:vAlign w:val="center"/>
                </w:tcPr>
                <w:p>
                  <w:pPr>
                    <w:ind w:left="-105" w:leftChars="-50" w:right="-105" w:rightChars="-50"/>
                    <w:jc w:val="center"/>
                    <w:rPr>
                      <w:sz w:val="24"/>
                      <w:szCs w:val="24"/>
                    </w:rPr>
                  </w:pPr>
                  <w:r>
                    <w:rPr>
                      <w:rFonts w:hint="eastAsia"/>
                      <w:sz w:val="24"/>
                      <w:szCs w:val="24"/>
                    </w:rPr>
                    <w:t>水</w:t>
                  </w:r>
                </w:p>
              </w:tc>
              <w:tc>
                <w:tcPr>
                  <w:tcW w:w="476" w:type="dxa"/>
                  <w:vAlign w:val="center"/>
                </w:tcPr>
                <w:p>
                  <w:pPr>
                    <w:ind w:left="-105" w:leftChars="-50" w:right="-105" w:rightChars="-50"/>
                    <w:jc w:val="center"/>
                    <w:rPr>
                      <w:rFonts w:hint="eastAsia" w:eastAsia="宋体"/>
                      <w:sz w:val="24"/>
                      <w:szCs w:val="24"/>
                      <w:lang w:eastAsia="zh-CN"/>
                    </w:rPr>
                  </w:pPr>
                  <w:r>
                    <w:rPr>
                      <w:rFonts w:hint="eastAsia"/>
                      <w:sz w:val="24"/>
                      <w:szCs w:val="24"/>
                      <w:lang w:val="en-US" w:eastAsia="zh-CN"/>
                    </w:rPr>
                    <w:t>1</w:t>
                  </w:r>
                </w:p>
              </w:tc>
              <w:tc>
                <w:tcPr>
                  <w:tcW w:w="476" w:type="dxa"/>
                  <w:vAlign w:val="center"/>
                </w:tcPr>
                <w:p>
                  <w:pPr>
                    <w:ind w:left="-105" w:leftChars="-50" w:right="-105" w:rightChars="-50"/>
                    <w:jc w:val="center"/>
                    <w:rPr>
                      <w:sz w:val="24"/>
                      <w:szCs w:val="24"/>
                    </w:rPr>
                  </w:pPr>
                  <w:r>
                    <w:rPr>
                      <w:rFonts w:hint="eastAsia"/>
                      <w:sz w:val="24"/>
                      <w:szCs w:val="24"/>
                    </w:rPr>
                    <w:t>2</w:t>
                  </w:r>
                </w:p>
              </w:tc>
              <w:tc>
                <w:tcPr>
                  <w:tcW w:w="524" w:type="dxa"/>
                  <w:vAlign w:val="center"/>
                </w:tcPr>
                <w:p>
                  <w:pPr>
                    <w:ind w:left="-105" w:leftChars="-50" w:right="-105" w:rightChars="-50"/>
                    <w:jc w:val="center"/>
                    <w:rPr>
                      <w:szCs w:val="21"/>
                    </w:rPr>
                  </w:pPr>
                  <w:r>
                    <w:rPr>
                      <w:rFonts w:hint="eastAsia"/>
                      <w:szCs w:val="21"/>
                    </w:rPr>
                    <w:t>1</w:t>
                  </w:r>
                  <w:r>
                    <w:rPr>
                      <w:szCs w:val="21"/>
                    </w:rPr>
                    <w:t>00</w:t>
                  </w:r>
                </w:p>
              </w:tc>
              <w:tc>
                <w:tcPr>
                  <w:tcW w:w="531" w:type="dxa"/>
                  <w:vAlign w:val="center"/>
                </w:tcPr>
                <w:p>
                  <w:pPr>
                    <w:ind w:left="-105" w:leftChars="-50" w:right="-105" w:rightChars="-50"/>
                    <w:jc w:val="center"/>
                    <w:rPr>
                      <w:szCs w:val="21"/>
                    </w:rPr>
                  </w:pPr>
                  <w:r>
                    <w:rPr>
                      <w:rFonts w:hint="eastAsia"/>
                      <w:szCs w:val="21"/>
                    </w:rPr>
                    <w:t>1</w:t>
                  </w:r>
                  <w:r>
                    <w:rPr>
                      <w:szCs w:val="21"/>
                    </w:rPr>
                    <w:t>00</w:t>
                  </w:r>
                </w:p>
              </w:tc>
              <w:tc>
                <w:tcPr>
                  <w:tcW w:w="545" w:type="dxa"/>
                  <w:vAlign w:val="center"/>
                </w:tcPr>
                <w:p>
                  <w:pPr>
                    <w:ind w:left="-105" w:leftChars="-50" w:right="-105" w:rightChars="-50"/>
                    <w:jc w:val="center"/>
                    <w:rPr>
                      <w:szCs w:val="21"/>
                    </w:rPr>
                  </w:pPr>
                  <w:r>
                    <w:rPr>
                      <w:rFonts w:hint="eastAsia"/>
                      <w:szCs w:val="21"/>
                    </w:rPr>
                    <w:t>1</w:t>
                  </w:r>
                  <w:r>
                    <w:rPr>
                      <w:szCs w:val="21"/>
                    </w:rPr>
                    <w:t>00</w:t>
                  </w:r>
                </w:p>
              </w:tc>
              <w:tc>
                <w:tcPr>
                  <w:tcW w:w="417" w:type="dxa"/>
                  <w:vAlign w:val="center"/>
                </w:tcPr>
                <w:p>
                  <w:pPr>
                    <w:ind w:left="-105" w:leftChars="-50" w:right="-105" w:rightChars="-50"/>
                    <w:jc w:val="center"/>
                    <w:rPr>
                      <w:szCs w:val="21"/>
                    </w:rPr>
                  </w:pPr>
                </w:p>
              </w:tc>
              <w:tc>
                <w:tcPr>
                  <w:tcW w:w="411" w:type="dxa"/>
                  <w:vAlign w:val="center"/>
                </w:tcPr>
                <w:p>
                  <w:pPr>
                    <w:ind w:left="-105" w:leftChars="-50" w:right="-105" w:rightChars="-50"/>
                    <w:jc w:val="center"/>
                    <w:rPr>
                      <w:szCs w:val="21"/>
                    </w:rPr>
                  </w:pPr>
                </w:p>
              </w:tc>
              <w:tc>
                <w:tcPr>
                  <w:tcW w:w="491" w:type="dxa"/>
                  <w:vAlign w:val="center"/>
                </w:tcPr>
                <w:p>
                  <w:pPr>
                    <w:ind w:left="-105" w:leftChars="-50" w:right="-105" w:rightChars="-50"/>
                    <w:jc w:val="center"/>
                    <w:rPr>
                      <w:szCs w:val="21"/>
                    </w:rPr>
                  </w:pPr>
                </w:p>
              </w:tc>
              <w:tc>
                <w:tcPr>
                  <w:tcW w:w="473" w:type="dxa"/>
                  <w:vAlign w:val="center"/>
                </w:tcPr>
                <w:p>
                  <w:pPr>
                    <w:ind w:left="-105" w:leftChars="-50" w:right="-105" w:rightChars="-50"/>
                    <w:jc w:val="center"/>
                    <w:rPr>
                      <w:szCs w:val="21"/>
                    </w:rPr>
                  </w:pPr>
                </w:p>
              </w:tc>
              <w:tc>
                <w:tcPr>
                  <w:tcW w:w="552" w:type="dxa"/>
                  <w:vAlign w:val="center"/>
                </w:tcPr>
                <w:p>
                  <w:pPr>
                    <w:ind w:left="-105" w:leftChars="-50" w:right="-105" w:rightChars="-50"/>
                    <w:jc w:val="center"/>
                    <w:rPr>
                      <w:szCs w:val="21"/>
                    </w:rPr>
                  </w:pPr>
                </w:p>
              </w:tc>
              <w:tc>
                <w:tcPr>
                  <w:tcW w:w="412" w:type="dxa"/>
                  <w:vAlign w:val="center"/>
                </w:tcPr>
                <w:p>
                  <w:pPr>
                    <w:ind w:left="-105" w:leftChars="-50" w:right="-105" w:rightChars="-50"/>
                    <w:jc w:val="center"/>
                    <w:rPr>
                      <w:szCs w:val="21"/>
                    </w:rPr>
                  </w:pPr>
                </w:p>
              </w:tc>
              <w:tc>
                <w:tcPr>
                  <w:tcW w:w="408" w:type="dxa"/>
                  <w:vAlign w:val="center"/>
                </w:tcPr>
                <w:p>
                  <w:pPr>
                    <w:ind w:left="-105" w:leftChars="-50" w:right="-105" w:rightChars="-50"/>
                    <w:jc w:val="center"/>
                    <w:rPr>
                      <w:szCs w:val="21"/>
                    </w:rPr>
                  </w:pPr>
                </w:p>
              </w:tc>
              <w:tc>
                <w:tcPr>
                  <w:tcW w:w="554" w:type="dxa"/>
                  <w:vAlign w:val="center"/>
                </w:tcPr>
                <w:p>
                  <w:pPr>
                    <w:ind w:left="-105" w:leftChars="-50" w:right="-105" w:rightChars="-50"/>
                    <w:jc w:val="center"/>
                    <w:rPr>
                      <w:szCs w:val="21"/>
                    </w:rPr>
                  </w:pPr>
                </w:p>
              </w:tc>
              <w:tc>
                <w:tcPr>
                  <w:tcW w:w="550" w:type="dxa"/>
                  <w:vAlign w:val="center"/>
                </w:tcPr>
                <w:p>
                  <w:pPr>
                    <w:ind w:left="-105" w:leftChars="-50" w:right="-105" w:rightChars="-50"/>
                    <w:jc w:val="center"/>
                    <w:rPr>
                      <w:szCs w:val="21"/>
                    </w:rPr>
                  </w:pPr>
                </w:p>
              </w:tc>
              <w:tc>
                <w:tcPr>
                  <w:tcW w:w="553" w:type="dxa"/>
                  <w:vAlign w:val="center"/>
                </w:tcPr>
                <w:p>
                  <w:pPr>
                    <w:ind w:left="-105" w:leftChars="-50" w:right="-105" w:rightChars="-5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4" w:type="dxa"/>
                  <w:vAlign w:val="center"/>
                </w:tcPr>
                <w:p>
                  <w:pPr>
                    <w:rPr>
                      <w:sz w:val="24"/>
                      <w:szCs w:val="24"/>
                    </w:rPr>
                  </w:pPr>
                  <w:r>
                    <w:rPr>
                      <w:rFonts w:hint="eastAsia"/>
                      <w:sz w:val="24"/>
                      <w:szCs w:val="24"/>
                    </w:rPr>
                    <w:t>2</w:t>
                  </w:r>
                </w:p>
              </w:tc>
              <w:tc>
                <w:tcPr>
                  <w:tcW w:w="619" w:type="dxa"/>
                  <w:vAlign w:val="center"/>
                </w:tcPr>
                <w:p>
                  <w:pPr>
                    <w:ind w:left="-105" w:leftChars="-50" w:right="-105" w:rightChars="-50"/>
                    <w:jc w:val="center"/>
                    <w:rPr>
                      <w:sz w:val="24"/>
                      <w:szCs w:val="24"/>
                    </w:rPr>
                  </w:pPr>
                  <w:r>
                    <w:rPr>
                      <w:rFonts w:hint="eastAsia"/>
                      <w:sz w:val="24"/>
                      <w:szCs w:val="24"/>
                    </w:rPr>
                    <w:t>电</w:t>
                  </w:r>
                </w:p>
              </w:tc>
              <w:tc>
                <w:tcPr>
                  <w:tcW w:w="476" w:type="dxa"/>
                  <w:vAlign w:val="center"/>
                </w:tcPr>
                <w:p>
                  <w:pPr>
                    <w:ind w:left="-105" w:leftChars="-50" w:right="-105" w:rightChars="-50"/>
                    <w:jc w:val="center"/>
                    <w:rPr>
                      <w:rFonts w:hint="eastAsia" w:eastAsia="宋体"/>
                      <w:sz w:val="24"/>
                      <w:szCs w:val="24"/>
                      <w:lang w:eastAsia="zh-CN"/>
                    </w:rPr>
                  </w:pPr>
                  <w:r>
                    <w:rPr>
                      <w:rFonts w:hint="eastAsia"/>
                      <w:sz w:val="24"/>
                      <w:szCs w:val="24"/>
                      <w:lang w:val="en-US" w:eastAsia="zh-CN"/>
                    </w:rPr>
                    <w:t>1</w:t>
                  </w:r>
                </w:p>
              </w:tc>
              <w:tc>
                <w:tcPr>
                  <w:tcW w:w="476" w:type="dxa"/>
                  <w:vAlign w:val="center"/>
                </w:tcPr>
                <w:p>
                  <w:pPr>
                    <w:ind w:left="-105" w:leftChars="-50" w:right="-105" w:rightChars="-50"/>
                    <w:jc w:val="center"/>
                    <w:rPr>
                      <w:sz w:val="24"/>
                      <w:szCs w:val="24"/>
                    </w:rPr>
                  </w:pPr>
                  <w:r>
                    <w:rPr>
                      <w:sz w:val="24"/>
                      <w:szCs w:val="24"/>
                    </w:rPr>
                    <w:t>2</w:t>
                  </w:r>
                </w:p>
              </w:tc>
              <w:tc>
                <w:tcPr>
                  <w:tcW w:w="524" w:type="dxa"/>
                  <w:vAlign w:val="center"/>
                </w:tcPr>
                <w:p>
                  <w:pPr>
                    <w:ind w:left="-105" w:leftChars="-50" w:right="-105" w:rightChars="-50"/>
                    <w:jc w:val="center"/>
                    <w:rPr>
                      <w:szCs w:val="21"/>
                    </w:rPr>
                  </w:pPr>
                  <w:r>
                    <w:rPr>
                      <w:rFonts w:hint="eastAsia"/>
                      <w:szCs w:val="21"/>
                    </w:rPr>
                    <w:t>1</w:t>
                  </w:r>
                  <w:r>
                    <w:rPr>
                      <w:szCs w:val="21"/>
                    </w:rPr>
                    <w:t>00</w:t>
                  </w:r>
                </w:p>
              </w:tc>
              <w:tc>
                <w:tcPr>
                  <w:tcW w:w="531" w:type="dxa"/>
                  <w:vAlign w:val="center"/>
                </w:tcPr>
                <w:p>
                  <w:pPr>
                    <w:ind w:left="-105" w:leftChars="-50" w:right="-105" w:rightChars="-50"/>
                    <w:jc w:val="center"/>
                    <w:rPr>
                      <w:szCs w:val="21"/>
                    </w:rPr>
                  </w:pPr>
                  <w:r>
                    <w:rPr>
                      <w:rFonts w:hint="eastAsia"/>
                      <w:szCs w:val="21"/>
                    </w:rPr>
                    <w:t>1</w:t>
                  </w:r>
                  <w:r>
                    <w:rPr>
                      <w:szCs w:val="21"/>
                    </w:rPr>
                    <w:t>00</w:t>
                  </w:r>
                </w:p>
              </w:tc>
              <w:tc>
                <w:tcPr>
                  <w:tcW w:w="545" w:type="dxa"/>
                  <w:vAlign w:val="center"/>
                </w:tcPr>
                <w:p>
                  <w:pPr>
                    <w:ind w:left="-105" w:leftChars="-50" w:right="-105" w:rightChars="-50"/>
                    <w:jc w:val="center"/>
                    <w:rPr>
                      <w:szCs w:val="21"/>
                    </w:rPr>
                  </w:pPr>
                  <w:r>
                    <w:rPr>
                      <w:rFonts w:hint="eastAsia"/>
                      <w:szCs w:val="21"/>
                    </w:rPr>
                    <w:t>1</w:t>
                  </w:r>
                  <w:r>
                    <w:rPr>
                      <w:szCs w:val="21"/>
                    </w:rPr>
                    <w:t>00</w:t>
                  </w:r>
                </w:p>
              </w:tc>
              <w:tc>
                <w:tcPr>
                  <w:tcW w:w="417" w:type="dxa"/>
                  <w:vAlign w:val="center"/>
                </w:tcPr>
                <w:p>
                  <w:pPr>
                    <w:ind w:left="-105" w:leftChars="-50" w:right="-105" w:rightChars="-50"/>
                    <w:jc w:val="center"/>
                    <w:rPr>
                      <w:rFonts w:hint="eastAsia" w:eastAsia="宋体"/>
                      <w:szCs w:val="21"/>
                      <w:lang w:eastAsia="zh-CN"/>
                    </w:rPr>
                  </w:pPr>
                  <w:r>
                    <w:rPr>
                      <w:rFonts w:hint="eastAsia"/>
                      <w:szCs w:val="21"/>
                      <w:lang w:val="en-US" w:eastAsia="zh-CN"/>
                    </w:rPr>
                    <w:t>2</w:t>
                  </w:r>
                </w:p>
              </w:tc>
              <w:tc>
                <w:tcPr>
                  <w:tcW w:w="411" w:type="dxa"/>
                  <w:vAlign w:val="center"/>
                </w:tcPr>
                <w:p>
                  <w:pPr>
                    <w:ind w:left="-105" w:leftChars="-50" w:right="-105" w:rightChars="-50"/>
                    <w:jc w:val="center"/>
                    <w:rPr>
                      <w:rFonts w:hint="eastAsia" w:eastAsia="宋体"/>
                      <w:szCs w:val="21"/>
                      <w:lang w:eastAsia="zh-CN"/>
                    </w:rPr>
                  </w:pPr>
                  <w:r>
                    <w:rPr>
                      <w:rFonts w:hint="eastAsia"/>
                      <w:szCs w:val="21"/>
                      <w:lang w:val="en-US" w:eastAsia="zh-CN"/>
                    </w:rPr>
                    <w:t>2</w:t>
                  </w:r>
                </w:p>
              </w:tc>
              <w:tc>
                <w:tcPr>
                  <w:tcW w:w="491" w:type="dxa"/>
                  <w:vAlign w:val="center"/>
                </w:tcPr>
                <w:p>
                  <w:pPr>
                    <w:ind w:left="-105" w:leftChars="-50" w:right="-105" w:rightChars="-50"/>
                    <w:jc w:val="center"/>
                    <w:rPr>
                      <w:szCs w:val="21"/>
                    </w:rPr>
                  </w:pPr>
                  <w:r>
                    <w:rPr>
                      <w:rFonts w:hint="eastAsia"/>
                      <w:szCs w:val="21"/>
                    </w:rPr>
                    <w:t>1</w:t>
                  </w:r>
                  <w:r>
                    <w:rPr>
                      <w:szCs w:val="21"/>
                    </w:rPr>
                    <w:t>00</w:t>
                  </w:r>
                </w:p>
              </w:tc>
              <w:tc>
                <w:tcPr>
                  <w:tcW w:w="473" w:type="dxa"/>
                  <w:vAlign w:val="center"/>
                </w:tcPr>
                <w:p>
                  <w:pPr>
                    <w:ind w:left="-105" w:leftChars="-50" w:right="-105" w:rightChars="-50"/>
                    <w:jc w:val="center"/>
                    <w:rPr>
                      <w:szCs w:val="21"/>
                    </w:rPr>
                  </w:pPr>
                  <w:r>
                    <w:rPr>
                      <w:rFonts w:hint="eastAsia"/>
                      <w:szCs w:val="21"/>
                    </w:rPr>
                    <w:t>1</w:t>
                  </w:r>
                  <w:r>
                    <w:rPr>
                      <w:szCs w:val="21"/>
                    </w:rPr>
                    <w:t>00</w:t>
                  </w:r>
                </w:p>
              </w:tc>
              <w:tc>
                <w:tcPr>
                  <w:tcW w:w="552" w:type="dxa"/>
                  <w:vAlign w:val="center"/>
                </w:tcPr>
                <w:p>
                  <w:pPr>
                    <w:ind w:left="-105" w:leftChars="-50" w:right="-105" w:rightChars="-50"/>
                    <w:jc w:val="center"/>
                    <w:rPr>
                      <w:szCs w:val="21"/>
                    </w:rPr>
                  </w:pPr>
                  <w:r>
                    <w:rPr>
                      <w:rFonts w:hint="eastAsia"/>
                      <w:szCs w:val="21"/>
                    </w:rPr>
                    <w:t>1</w:t>
                  </w:r>
                  <w:r>
                    <w:rPr>
                      <w:szCs w:val="21"/>
                    </w:rPr>
                    <w:t>00</w:t>
                  </w:r>
                </w:p>
              </w:tc>
              <w:tc>
                <w:tcPr>
                  <w:tcW w:w="412" w:type="dxa"/>
                  <w:vAlign w:val="center"/>
                </w:tcPr>
                <w:p>
                  <w:pPr>
                    <w:ind w:left="-105" w:leftChars="-50" w:right="-105" w:rightChars="-50"/>
                    <w:jc w:val="center"/>
                    <w:rPr>
                      <w:rFonts w:hint="eastAsia" w:eastAsia="宋体"/>
                      <w:szCs w:val="21"/>
                      <w:lang w:val="en-US" w:eastAsia="zh-CN"/>
                    </w:rPr>
                  </w:pPr>
                  <w:r>
                    <w:rPr>
                      <w:rFonts w:hint="eastAsia"/>
                      <w:szCs w:val="21"/>
                      <w:lang w:val="en-US" w:eastAsia="zh-CN"/>
                    </w:rPr>
                    <w:t>2</w:t>
                  </w:r>
                </w:p>
              </w:tc>
              <w:tc>
                <w:tcPr>
                  <w:tcW w:w="408" w:type="dxa"/>
                  <w:vAlign w:val="center"/>
                </w:tcPr>
                <w:p>
                  <w:pPr>
                    <w:ind w:left="-105" w:leftChars="-50" w:right="-105" w:rightChars="-50"/>
                    <w:jc w:val="center"/>
                    <w:rPr>
                      <w:rFonts w:hint="eastAsia" w:eastAsia="宋体"/>
                      <w:szCs w:val="21"/>
                      <w:lang w:val="en-US" w:eastAsia="zh-CN"/>
                    </w:rPr>
                  </w:pPr>
                  <w:r>
                    <w:rPr>
                      <w:rFonts w:hint="eastAsia"/>
                      <w:szCs w:val="21"/>
                      <w:lang w:val="en-US" w:eastAsia="zh-CN"/>
                    </w:rPr>
                    <w:t>2</w:t>
                  </w:r>
                </w:p>
              </w:tc>
              <w:tc>
                <w:tcPr>
                  <w:tcW w:w="554" w:type="dxa"/>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rFonts w:hint="eastAsia"/>
                      <w:szCs w:val="21"/>
                    </w:rPr>
                    <w:t>1</w:t>
                  </w:r>
                  <w:r>
                    <w:rPr>
                      <w:szCs w:val="21"/>
                    </w:rPr>
                    <w:t>00</w:t>
                  </w:r>
                </w:p>
              </w:tc>
              <w:tc>
                <w:tcPr>
                  <w:tcW w:w="550" w:type="dxa"/>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rFonts w:hint="eastAsia"/>
                      <w:szCs w:val="21"/>
                    </w:rPr>
                    <w:t>1</w:t>
                  </w:r>
                  <w:r>
                    <w:rPr>
                      <w:szCs w:val="21"/>
                    </w:rPr>
                    <w:t>00</w:t>
                  </w:r>
                </w:p>
              </w:tc>
              <w:tc>
                <w:tcPr>
                  <w:tcW w:w="553" w:type="dxa"/>
                  <w:vAlign w:val="center"/>
                </w:tcPr>
                <w:p>
                  <w:pPr>
                    <w:ind w:left="-105" w:leftChars="-50" w:right="-105" w:rightChars="-50"/>
                    <w:jc w:val="center"/>
                    <w:rPr>
                      <w:rFonts w:ascii="Times New Roman" w:hAnsi="Times New Roman" w:eastAsia="宋体" w:cs="Times New Roman"/>
                      <w:kern w:val="2"/>
                      <w:sz w:val="21"/>
                      <w:szCs w:val="21"/>
                      <w:lang w:val="en-US" w:eastAsia="zh-CN" w:bidi="ar-SA"/>
                    </w:rPr>
                  </w:pPr>
                  <w:r>
                    <w:rPr>
                      <w:rFonts w:hint="eastAsia"/>
                      <w:szCs w:val="21"/>
                    </w:rPr>
                    <w:t>1</w:t>
                  </w:r>
                  <w:r>
                    <w:rPr>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04" w:type="dxa"/>
                  <w:vAlign w:val="center"/>
                </w:tcPr>
                <w:p>
                  <w:pPr>
                    <w:rPr>
                      <w:sz w:val="24"/>
                      <w:szCs w:val="24"/>
                    </w:rPr>
                  </w:pPr>
                </w:p>
              </w:tc>
              <w:tc>
                <w:tcPr>
                  <w:tcW w:w="619" w:type="dxa"/>
                  <w:vAlign w:val="center"/>
                </w:tcPr>
                <w:p>
                  <w:pPr>
                    <w:ind w:left="-105" w:leftChars="-50" w:right="-105" w:rightChars="-50"/>
                    <w:jc w:val="center"/>
                    <w:rPr>
                      <w:sz w:val="24"/>
                      <w:szCs w:val="24"/>
                    </w:rPr>
                  </w:pPr>
                  <w:r>
                    <w:rPr>
                      <w:rFonts w:hint="eastAsia"/>
                      <w:sz w:val="24"/>
                      <w:szCs w:val="24"/>
                    </w:rPr>
                    <w:t>合计</w:t>
                  </w:r>
                </w:p>
              </w:tc>
              <w:tc>
                <w:tcPr>
                  <w:tcW w:w="476" w:type="dxa"/>
                  <w:vAlign w:val="center"/>
                </w:tcPr>
                <w:p>
                  <w:pPr>
                    <w:ind w:left="-105" w:leftChars="-50" w:right="-105" w:rightChars="-50"/>
                    <w:jc w:val="center"/>
                    <w:rPr>
                      <w:rFonts w:hint="eastAsia" w:eastAsia="宋体"/>
                      <w:sz w:val="24"/>
                      <w:szCs w:val="24"/>
                      <w:lang w:eastAsia="zh-CN"/>
                    </w:rPr>
                  </w:pPr>
                  <w:r>
                    <w:rPr>
                      <w:rFonts w:hint="eastAsia"/>
                      <w:sz w:val="24"/>
                      <w:szCs w:val="24"/>
                      <w:lang w:val="en-US" w:eastAsia="zh-CN"/>
                    </w:rPr>
                    <w:t>2</w:t>
                  </w:r>
                </w:p>
              </w:tc>
              <w:tc>
                <w:tcPr>
                  <w:tcW w:w="476" w:type="dxa"/>
                  <w:vAlign w:val="center"/>
                </w:tcPr>
                <w:p>
                  <w:pPr>
                    <w:ind w:left="-105" w:leftChars="-50" w:right="-105" w:rightChars="-50"/>
                    <w:jc w:val="center"/>
                    <w:rPr>
                      <w:rFonts w:hint="eastAsia" w:eastAsia="宋体"/>
                      <w:sz w:val="24"/>
                      <w:szCs w:val="24"/>
                      <w:lang w:eastAsia="zh-CN"/>
                    </w:rPr>
                  </w:pPr>
                  <w:r>
                    <w:rPr>
                      <w:rFonts w:hint="eastAsia"/>
                      <w:sz w:val="24"/>
                      <w:szCs w:val="24"/>
                      <w:lang w:val="en-US" w:eastAsia="zh-CN"/>
                    </w:rPr>
                    <w:t>4</w:t>
                  </w:r>
                </w:p>
              </w:tc>
              <w:tc>
                <w:tcPr>
                  <w:tcW w:w="524" w:type="dxa"/>
                  <w:vAlign w:val="center"/>
                </w:tcPr>
                <w:p>
                  <w:pPr>
                    <w:ind w:left="-105" w:leftChars="-50" w:right="-105" w:rightChars="-50"/>
                    <w:jc w:val="center"/>
                    <w:rPr>
                      <w:szCs w:val="21"/>
                    </w:rPr>
                  </w:pPr>
                  <w:r>
                    <w:rPr>
                      <w:rFonts w:hint="eastAsia"/>
                      <w:szCs w:val="21"/>
                    </w:rPr>
                    <w:t>1</w:t>
                  </w:r>
                  <w:r>
                    <w:rPr>
                      <w:szCs w:val="21"/>
                    </w:rPr>
                    <w:t>00</w:t>
                  </w:r>
                </w:p>
              </w:tc>
              <w:tc>
                <w:tcPr>
                  <w:tcW w:w="531" w:type="dxa"/>
                  <w:vAlign w:val="center"/>
                </w:tcPr>
                <w:p>
                  <w:pPr>
                    <w:ind w:left="-105" w:leftChars="-50" w:right="-105" w:rightChars="-50"/>
                    <w:jc w:val="center"/>
                    <w:rPr>
                      <w:szCs w:val="21"/>
                    </w:rPr>
                  </w:pPr>
                  <w:r>
                    <w:rPr>
                      <w:rFonts w:hint="eastAsia"/>
                      <w:szCs w:val="21"/>
                    </w:rPr>
                    <w:t>1</w:t>
                  </w:r>
                  <w:r>
                    <w:rPr>
                      <w:szCs w:val="21"/>
                    </w:rPr>
                    <w:t>00</w:t>
                  </w:r>
                </w:p>
              </w:tc>
              <w:tc>
                <w:tcPr>
                  <w:tcW w:w="545" w:type="dxa"/>
                  <w:vAlign w:val="center"/>
                </w:tcPr>
                <w:p>
                  <w:pPr>
                    <w:ind w:left="-105" w:leftChars="-50" w:right="-105" w:rightChars="-50"/>
                    <w:jc w:val="center"/>
                    <w:rPr>
                      <w:szCs w:val="21"/>
                    </w:rPr>
                  </w:pPr>
                  <w:r>
                    <w:rPr>
                      <w:rFonts w:hint="eastAsia"/>
                      <w:szCs w:val="21"/>
                    </w:rPr>
                    <w:t>1</w:t>
                  </w:r>
                  <w:r>
                    <w:rPr>
                      <w:szCs w:val="21"/>
                    </w:rPr>
                    <w:t>00</w:t>
                  </w:r>
                </w:p>
              </w:tc>
              <w:tc>
                <w:tcPr>
                  <w:tcW w:w="417" w:type="dxa"/>
                  <w:vAlign w:val="center"/>
                </w:tcPr>
                <w:p>
                  <w:pPr>
                    <w:ind w:left="-105" w:leftChars="-50" w:right="-105" w:rightChars="-50"/>
                    <w:jc w:val="center"/>
                    <w:rPr>
                      <w:rFonts w:hint="eastAsia" w:eastAsia="宋体"/>
                      <w:szCs w:val="21"/>
                      <w:lang w:eastAsia="zh-CN"/>
                    </w:rPr>
                  </w:pPr>
                  <w:r>
                    <w:rPr>
                      <w:rFonts w:hint="eastAsia"/>
                      <w:szCs w:val="21"/>
                      <w:lang w:val="en-US" w:eastAsia="zh-CN"/>
                    </w:rPr>
                    <w:t>2</w:t>
                  </w:r>
                </w:p>
              </w:tc>
              <w:tc>
                <w:tcPr>
                  <w:tcW w:w="411" w:type="dxa"/>
                  <w:vAlign w:val="center"/>
                </w:tcPr>
                <w:p>
                  <w:pPr>
                    <w:ind w:left="-105" w:leftChars="-50" w:right="-105" w:rightChars="-50"/>
                    <w:jc w:val="center"/>
                    <w:rPr>
                      <w:rFonts w:hint="eastAsia" w:eastAsia="宋体"/>
                      <w:szCs w:val="21"/>
                      <w:lang w:eastAsia="zh-CN"/>
                    </w:rPr>
                  </w:pPr>
                  <w:r>
                    <w:rPr>
                      <w:rFonts w:hint="eastAsia"/>
                      <w:szCs w:val="21"/>
                      <w:lang w:val="en-US" w:eastAsia="zh-CN"/>
                    </w:rPr>
                    <w:t>2</w:t>
                  </w:r>
                </w:p>
              </w:tc>
              <w:tc>
                <w:tcPr>
                  <w:tcW w:w="491" w:type="dxa"/>
                  <w:vAlign w:val="center"/>
                </w:tcPr>
                <w:p>
                  <w:pPr>
                    <w:ind w:left="-105" w:leftChars="-50" w:right="-105" w:rightChars="-50"/>
                    <w:jc w:val="center"/>
                    <w:rPr>
                      <w:szCs w:val="21"/>
                    </w:rPr>
                  </w:pPr>
                  <w:r>
                    <w:rPr>
                      <w:rFonts w:hint="eastAsia"/>
                      <w:szCs w:val="21"/>
                    </w:rPr>
                    <w:t>1</w:t>
                  </w:r>
                  <w:r>
                    <w:rPr>
                      <w:szCs w:val="21"/>
                    </w:rPr>
                    <w:t>00</w:t>
                  </w:r>
                </w:p>
              </w:tc>
              <w:tc>
                <w:tcPr>
                  <w:tcW w:w="473" w:type="dxa"/>
                  <w:vAlign w:val="center"/>
                </w:tcPr>
                <w:p>
                  <w:pPr>
                    <w:ind w:left="-105" w:leftChars="-50" w:right="-105" w:rightChars="-50"/>
                    <w:jc w:val="center"/>
                    <w:rPr>
                      <w:szCs w:val="21"/>
                    </w:rPr>
                  </w:pPr>
                  <w:r>
                    <w:rPr>
                      <w:rFonts w:hint="eastAsia"/>
                      <w:szCs w:val="21"/>
                    </w:rPr>
                    <w:t>1</w:t>
                  </w:r>
                  <w:r>
                    <w:rPr>
                      <w:szCs w:val="21"/>
                    </w:rPr>
                    <w:t>00</w:t>
                  </w:r>
                </w:p>
              </w:tc>
              <w:tc>
                <w:tcPr>
                  <w:tcW w:w="552" w:type="dxa"/>
                  <w:vAlign w:val="center"/>
                </w:tcPr>
                <w:p>
                  <w:pPr>
                    <w:ind w:left="-105" w:leftChars="-50" w:right="-105" w:rightChars="-50"/>
                    <w:jc w:val="center"/>
                    <w:rPr>
                      <w:szCs w:val="21"/>
                    </w:rPr>
                  </w:pPr>
                  <w:r>
                    <w:rPr>
                      <w:rFonts w:hint="eastAsia"/>
                      <w:szCs w:val="21"/>
                    </w:rPr>
                    <w:t>1</w:t>
                  </w:r>
                  <w:r>
                    <w:rPr>
                      <w:szCs w:val="21"/>
                    </w:rPr>
                    <w:t>00</w:t>
                  </w:r>
                </w:p>
              </w:tc>
              <w:tc>
                <w:tcPr>
                  <w:tcW w:w="412" w:type="dxa"/>
                  <w:vAlign w:val="center"/>
                </w:tcPr>
                <w:p>
                  <w:pPr>
                    <w:ind w:left="-105" w:leftChars="-50" w:right="-105" w:rightChars="-50"/>
                    <w:jc w:val="center"/>
                    <w:rPr>
                      <w:szCs w:val="21"/>
                    </w:rPr>
                  </w:pPr>
                </w:p>
              </w:tc>
              <w:tc>
                <w:tcPr>
                  <w:tcW w:w="408" w:type="dxa"/>
                  <w:vAlign w:val="center"/>
                </w:tcPr>
                <w:p>
                  <w:pPr>
                    <w:ind w:left="-105" w:leftChars="-50" w:right="-105" w:rightChars="-50"/>
                    <w:jc w:val="center"/>
                    <w:rPr>
                      <w:szCs w:val="21"/>
                    </w:rPr>
                  </w:pPr>
                </w:p>
              </w:tc>
              <w:tc>
                <w:tcPr>
                  <w:tcW w:w="554" w:type="dxa"/>
                  <w:vAlign w:val="center"/>
                </w:tcPr>
                <w:p>
                  <w:pPr>
                    <w:ind w:left="-105" w:leftChars="-50" w:right="-105" w:rightChars="-50"/>
                    <w:jc w:val="center"/>
                    <w:rPr>
                      <w:szCs w:val="21"/>
                    </w:rPr>
                  </w:pPr>
                </w:p>
              </w:tc>
              <w:tc>
                <w:tcPr>
                  <w:tcW w:w="550" w:type="dxa"/>
                  <w:vAlign w:val="center"/>
                </w:tcPr>
                <w:p>
                  <w:pPr>
                    <w:ind w:left="-105" w:leftChars="-50" w:right="-105" w:rightChars="-50"/>
                    <w:jc w:val="center"/>
                    <w:rPr>
                      <w:szCs w:val="21"/>
                    </w:rPr>
                  </w:pPr>
                </w:p>
              </w:tc>
              <w:tc>
                <w:tcPr>
                  <w:tcW w:w="553" w:type="dxa"/>
                  <w:vAlign w:val="center"/>
                </w:tcPr>
                <w:p>
                  <w:pPr>
                    <w:ind w:left="-105" w:leftChars="-50" w:right="-105" w:rightChars="-50"/>
                    <w:jc w:val="center"/>
                    <w:rPr>
                      <w:szCs w:val="21"/>
                    </w:rPr>
                  </w:pPr>
                </w:p>
              </w:tc>
            </w:tr>
          </w:tbl>
          <w:p>
            <w:pPr>
              <w:rPr>
                <w:rFonts w:hint="eastAsia"/>
                <w:sz w:val="24"/>
                <w:szCs w:val="24"/>
                <w:lang w:val="en-US" w:eastAsia="zh-CN"/>
              </w:rPr>
            </w:pPr>
          </w:p>
          <w:p>
            <w:pPr>
              <w:rPr>
                <w:rFonts w:hint="default"/>
                <w:sz w:val="24"/>
                <w:szCs w:val="24"/>
                <w:lang w:val="en-US" w:eastAsia="zh-CN"/>
              </w:rPr>
            </w:pPr>
            <w:r>
              <w:rPr>
                <w:rFonts w:hint="eastAsia"/>
                <w:sz w:val="24"/>
                <w:szCs w:val="24"/>
                <w:lang w:val="en-US" w:eastAsia="zh-CN"/>
              </w:rPr>
              <w:t>电表和水表的检定情况：</w:t>
            </w:r>
          </w:p>
          <w:p>
            <w:pPr>
              <w:rPr>
                <w:rFonts w:hint="default"/>
                <w:sz w:val="24"/>
                <w:szCs w:val="24"/>
                <w:lang w:val="en-US" w:eastAsia="zh-CN"/>
              </w:rPr>
            </w:pPr>
            <w:r>
              <w:rPr>
                <w:rFonts w:hint="eastAsia"/>
                <w:sz w:val="24"/>
                <w:szCs w:val="24"/>
                <w:lang w:val="en-US" w:eastAsia="zh-CN"/>
              </w:rPr>
              <w:t>一级电度计量表由电业局负责管理，水表由供水部门管理；</w:t>
            </w:r>
          </w:p>
          <w:p>
            <w:pPr>
              <w:rPr>
                <w:rFonts w:hint="eastAsia"/>
                <w:lang w:val="en-US" w:eastAsia="zh-CN"/>
              </w:rPr>
            </w:pPr>
            <w:r>
              <w:rPr>
                <w:rFonts w:hint="eastAsia"/>
                <w:sz w:val="24"/>
                <w:szCs w:val="24"/>
                <w:lang w:val="en-US" w:eastAsia="zh-CN"/>
              </w:rPr>
              <w:t xml:space="preserve">   </w:t>
            </w:r>
          </w:p>
          <w:p>
            <w:pPr>
              <w:rPr>
                <w:rFonts w:hint="eastAsia"/>
                <w:sz w:val="24"/>
                <w:szCs w:val="24"/>
                <w:lang w:val="en-US" w:eastAsia="zh-CN"/>
              </w:rPr>
            </w:pPr>
            <w:r>
              <w:rPr>
                <w:rFonts w:hint="eastAsia"/>
                <w:sz w:val="24"/>
                <w:szCs w:val="24"/>
                <w:lang w:val="en-US" w:eastAsia="zh-CN"/>
              </w:rPr>
              <w:t>五、淘汰能耗落后工艺、设备概况</w:t>
            </w:r>
          </w:p>
          <w:p>
            <w:pPr>
              <w:rPr>
                <w:rFonts w:hint="default"/>
                <w:sz w:val="24"/>
                <w:szCs w:val="24"/>
                <w:lang w:val="en-US" w:eastAsia="zh-CN"/>
              </w:rPr>
            </w:pPr>
            <w:r>
              <w:rPr>
                <w:rFonts w:hint="eastAsia"/>
                <w:sz w:val="24"/>
                <w:szCs w:val="24"/>
                <w:lang w:val="en-US" w:eastAsia="zh-CN"/>
              </w:rPr>
              <w:t>按照国家政策法规文件识别绍兴三雄钢结构有限公司无相关能耗落后的工艺，也无淘汰落后设备。</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六、能源限额管理：企业所处行业目前国家及地方未制定限额标准。</w:t>
            </w:r>
          </w:p>
          <w:p>
            <w:pPr>
              <w:rPr>
                <w:rFonts w:hint="eastAsia"/>
                <w:sz w:val="24"/>
                <w:szCs w:val="24"/>
                <w:lang w:val="en-US" w:eastAsia="zh-CN"/>
              </w:rPr>
            </w:pPr>
          </w:p>
          <w:p>
            <w:pPr>
              <w:numPr>
                <w:ilvl w:val="0"/>
                <w:numId w:val="3"/>
              </w:numPr>
              <w:rPr>
                <w:rFonts w:hint="eastAsia"/>
                <w:sz w:val="24"/>
                <w:szCs w:val="24"/>
                <w:lang w:val="en-US" w:eastAsia="zh-CN"/>
              </w:rPr>
            </w:pPr>
            <w:r>
              <w:rPr>
                <w:rFonts w:hint="eastAsia"/>
                <w:sz w:val="24"/>
                <w:szCs w:val="24"/>
                <w:lang w:val="en-US" w:eastAsia="zh-CN"/>
              </w:rPr>
              <w:t>能源绩效</w:t>
            </w:r>
          </w:p>
          <w:p>
            <w:pPr>
              <w:pStyle w:val="2"/>
              <w:rPr>
                <w:rFonts w:hint="eastAsia"/>
                <w:sz w:val="24"/>
                <w:szCs w:val="24"/>
                <w:lang w:val="en-US" w:eastAsia="zh-CN"/>
              </w:rPr>
            </w:pPr>
            <w:r>
              <w:rPr>
                <w:rFonts w:hint="eastAsia"/>
                <w:sz w:val="24"/>
                <w:szCs w:val="24"/>
                <w:lang w:val="en-US" w:eastAsia="zh-CN"/>
              </w:rPr>
              <w:t>公司2020年、2021年、2022年1-6月份的能耗、产量、产值如下表：</w:t>
            </w:r>
          </w:p>
          <w:p>
            <w:pPr>
              <w:pStyle w:val="2"/>
              <w:rPr>
                <w:rFonts w:hint="default"/>
                <w:sz w:val="24"/>
                <w:szCs w:val="24"/>
                <w:lang w:val="en-US" w:eastAsia="zh-CN"/>
              </w:rPr>
            </w:pPr>
            <w:r>
              <w:drawing>
                <wp:inline distT="0" distB="0" distL="114300" distR="114300">
                  <wp:extent cx="6720205" cy="3333750"/>
                  <wp:effectExtent l="0" t="0" r="1079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720205" cy="3333750"/>
                          </a:xfrm>
                          <a:prstGeom prst="rect">
                            <a:avLst/>
                          </a:prstGeom>
                          <a:noFill/>
                          <a:ln>
                            <a:noFill/>
                          </a:ln>
                        </pic:spPr>
                      </pic:pic>
                    </a:graphicData>
                  </a:graphic>
                </wp:inline>
              </w:drawing>
            </w:r>
          </w:p>
          <w:p>
            <w:pPr>
              <w:pStyle w:val="2"/>
              <w:rPr>
                <w:rFonts w:hint="eastAsia"/>
                <w:sz w:val="24"/>
                <w:szCs w:val="24"/>
                <w:lang w:val="en-US" w:eastAsia="zh-CN"/>
              </w:rPr>
            </w:pPr>
          </w:p>
          <w:p>
            <w:pPr>
              <w:numPr>
                <w:ilvl w:val="0"/>
                <w:numId w:val="0"/>
              </w:numPr>
              <w:rPr>
                <w:rFonts w:hint="default" w:eastAsia="宋体"/>
                <w:sz w:val="24"/>
                <w:szCs w:val="24"/>
                <w:lang w:val="en-US" w:eastAsia="zh-CN"/>
              </w:rPr>
            </w:pPr>
            <w:r>
              <w:rPr>
                <w:rFonts w:hint="eastAsia" w:eastAsia="宋体"/>
                <w:sz w:val="24"/>
                <w:szCs w:val="24"/>
                <w:lang w:val="en-US" w:eastAsia="zh-CN"/>
              </w:rPr>
              <w:t>2021年绩效情况：2021年产量为产量</w:t>
            </w:r>
            <w:r>
              <w:rPr>
                <w:rFonts w:hint="eastAsia"/>
                <w:sz w:val="24"/>
                <w:szCs w:val="24"/>
                <w:lang w:val="en-US" w:eastAsia="zh-CN"/>
              </w:rPr>
              <w:t>3928.02</w:t>
            </w:r>
            <w:r>
              <w:rPr>
                <w:rFonts w:hint="eastAsia" w:eastAsia="宋体"/>
                <w:sz w:val="24"/>
                <w:szCs w:val="24"/>
                <w:lang w:val="en-US" w:eastAsia="zh-CN"/>
              </w:rPr>
              <w:t>t，</w:t>
            </w:r>
            <w:r>
              <w:rPr>
                <w:rFonts w:hint="eastAsia"/>
                <w:sz w:val="24"/>
                <w:szCs w:val="24"/>
                <w:lang w:val="en-US" w:eastAsia="zh-CN"/>
              </w:rPr>
              <w:t>全年能耗</w:t>
            </w:r>
            <w:r>
              <w:rPr>
                <w:rFonts w:hint="eastAsia" w:eastAsia="宋体"/>
                <w:sz w:val="24"/>
                <w:szCs w:val="24"/>
                <w:lang w:val="en-US" w:eastAsia="zh-CN"/>
              </w:rPr>
              <w:t>为</w:t>
            </w:r>
            <w:r>
              <w:rPr>
                <w:rFonts w:hint="eastAsia"/>
                <w:sz w:val="24"/>
                <w:szCs w:val="24"/>
                <w:lang w:val="en-US" w:eastAsia="zh-CN"/>
              </w:rPr>
              <w:t>：34.141tce，单位产品能耗为：8.692kgce/t</w:t>
            </w:r>
            <w:r>
              <w:rPr>
                <w:rFonts w:hint="eastAsia" w:eastAsia="宋体"/>
                <w:sz w:val="24"/>
                <w:szCs w:val="24"/>
                <w:lang w:val="en-US" w:eastAsia="zh-CN"/>
              </w:rPr>
              <w:t>。</w:t>
            </w:r>
          </w:p>
          <w:p>
            <w:pPr>
              <w:pStyle w:val="2"/>
              <w:numPr>
                <w:ilvl w:val="0"/>
                <w:numId w:val="0"/>
              </w:numPr>
              <w:rPr>
                <w:rFonts w:hint="default"/>
                <w:lang w:val="en-US" w:eastAsia="zh-CN"/>
              </w:rPr>
            </w:pPr>
          </w:p>
          <w:p>
            <w:pPr>
              <w:rPr>
                <w:rFonts w:hint="default"/>
                <w:sz w:val="24"/>
                <w:szCs w:val="24"/>
                <w:lang w:val="en-US" w:eastAsia="zh-CN"/>
              </w:rPr>
            </w:pPr>
            <w:r>
              <w:rPr>
                <w:rFonts w:hint="eastAsia"/>
                <w:sz w:val="24"/>
                <w:szCs w:val="24"/>
                <w:lang w:val="en-US" w:eastAsia="zh-CN"/>
              </w:rPr>
              <w:t>2022年1-6月份年能耗情况（以kgce/t为单位进行比较）：</w:t>
            </w:r>
          </w:p>
          <w:p>
            <w:pPr>
              <w:numPr>
                <w:ilvl w:val="0"/>
                <w:numId w:val="0"/>
              </w:numPr>
              <w:rPr>
                <w:rFonts w:hint="default" w:eastAsia="宋体"/>
                <w:sz w:val="24"/>
                <w:szCs w:val="24"/>
                <w:lang w:val="en-US" w:eastAsia="zh-CN"/>
              </w:rPr>
            </w:pPr>
            <w:r>
              <w:rPr>
                <w:rFonts w:hint="eastAsia" w:eastAsia="宋体"/>
                <w:sz w:val="24"/>
                <w:szCs w:val="24"/>
                <w:lang w:val="en-US" w:eastAsia="zh-CN"/>
              </w:rPr>
              <w:t>202</w:t>
            </w:r>
            <w:r>
              <w:rPr>
                <w:rFonts w:hint="eastAsia"/>
                <w:sz w:val="24"/>
                <w:szCs w:val="24"/>
                <w:lang w:val="en-US" w:eastAsia="zh-CN"/>
              </w:rPr>
              <w:t>2</w:t>
            </w:r>
            <w:r>
              <w:rPr>
                <w:rFonts w:hint="eastAsia" w:eastAsia="宋体"/>
                <w:sz w:val="24"/>
                <w:szCs w:val="24"/>
                <w:lang w:val="en-US" w:eastAsia="zh-CN"/>
              </w:rPr>
              <w:t>年绩效情况：202</w:t>
            </w:r>
            <w:r>
              <w:rPr>
                <w:rFonts w:hint="eastAsia"/>
                <w:sz w:val="24"/>
                <w:szCs w:val="24"/>
                <w:lang w:val="en-US" w:eastAsia="zh-CN"/>
              </w:rPr>
              <w:t>2</w:t>
            </w:r>
            <w:r>
              <w:rPr>
                <w:rFonts w:hint="eastAsia" w:eastAsia="宋体"/>
                <w:sz w:val="24"/>
                <w:szCs w:val="24"/>
                <w:lang w:val="en-US" w:eastAsia="zh-CN"/>
              </w:rPr>
              <w:t>年</w:t>
            </w:r>
            <w:r>
              <w:rPr>
                <w:rFonts w:hint="eastAsia"/>
                <w:sz w:val="24"/>
                <w:szCs w:val="24"/>
                <w:lang w:val="en-US" w:eastAsia="zh-CN"/>
              </w:rPr>
              <w:t>1-6月份</w:t>
            </w:r>
            <w:r>
              <w:rPr>
                <w:rFonts w:hint="eastAsia" w:eastAsia="宋体"/>
                <w:sz w:val="24"/>
                <w:szCs w:val="24"/>
                <w:lang w:val="en-US" w:eastAsia="zh-CN"/>
              </w:rPr>
              <w:t>产量为产量</w:t>
            </w:r>
            <w:r>
              <w:rPr>
                <w:rFonts w:hint="eastAsia"/>
                <w:sz w:val="24"/>
                <w:szCs w:val="24"/>
                <w:lang w:val="en-US" w:eastAsia="zh-CN"/>
              </w:rPr>
              <w:t>1514.23</w:t>
            </w:r>
            <w:r>
              <w:rPr>
                <w:rFonts w:hint="eastAsia" w:eastAsia="宋体"/>
                <w:sz w:val="24"/>
                <w:szCs w:val="24"/>
                <w:lang w:val="en-US" w:eastAsia="zh-CN"/>
              </w:rPr>
              <w:t>t，</w:t>
            </w:r>
            <w:r>
              <w:rPr>
                <w:rFonts w:hint="eastAsia"/>
                <w:sz w:val="24"/>
                <w:szCs w:val="24"/>
                <w:lang w:val="en-US" w:eastAsia="zh-CN"/>
              </w:rPr>
              <w:t>能耗</w:t>
            </w:r>
            <w:r>
              <w:rPr>
                <w:rFonts w:hint="eastAsia" w:eastAsia="宋体"/>
                <w:sz w:val="24"/>
                <w:szCs w:val="24"/>
                <w:lang w:val="en-US" w:eastAsia="zh-CN"/>
              </w:rPr>
              <w:t>为</w:t>
            </w:r>
            <w:r>
              <w:rPr>
                <w:rFonts w:hint="eastAsia"/>
                <w:sz w:val="24"/>
                <w:szCs w:val="24"/>
                <w:lang w:val="en-US" w:eastAsia="zh-CN"/>
              </w:rPr>
              <w:t>：14.849tce，单位产品能耗为：9.8kgce/t</w:t>
            </w:r>
            <w:r>
              <w:rPr>
                <w:rFonts w:hint="eastAsia" w:eastAsia="宋体"/>
                <w:sz w:val="24"/>
                <w:szCs w:val="24"/>
                <w:lang w:val="en-US" w:eastAsia="zh-CN"/>
              </w:rPr>
              <w:t>。</w:t>
            </w:r>
          </w:p>
          <w:p>
            <w:pPr>
              <w:rPr>
                <w:rFonts w:hint="eastAsia"/>
                <w:sz w:val="24"/>
                <w:szCs w:val="24"/>
                <w:lang w:val="en-US" w:eastAsia="zh-CN"/>
              </w:rPr>
            </w:pPr>
            <w:r>
              <w:rPr>
                <w:rFonts w:hint="eastAsia"/>
                <w:sz w:val="24"/>
                <w:szCs w:val="24"/>
                <w:lang w:val="en-US" w:eastAsia="zh-CN"/>
              </w:rPr>
              <w:t>从近二年的单位产品能耗情况来看单位产品能耗有逐渐上升的趋势；</w:t>
            </w:r>
          </w:p>
          <w:p>
            <w:pPr>
              <w:pStyle w:val="2"/>
              <w:rPr>
                <w:rFonts w:hint="eastAsia"/>
                <w:sz w:val="24"/>
                <w:szCs w:val="24"/>
                <w:lang w:val="en-US" w:eastAsia="zh-CN"/>
              </w:rPr>
            </w:pPr>
          </w:p>
          <w:p>
            <w:pPr>
              <w:numPr>
                <w:ilvl w:val="0"/>
                <w:numId w:val="4"/>
              </w:numPr>
              <w:rPr>
                <w:rFonts w:hint="eastAsia"/>
                <w:sz w:val="24"/>
                <w:szCs w:val="24"/>
                <w:lang w:val="en-US" w:eastAsia="zh-CN"/>
              </w:rPr>
            </w:pPr>
            <w:r>
              <w:rPr>
                <w:rFonts w:hint="eastAsia"/>
                <w:sz w:val="24"/>
                <w:szCs w:val="24"/>
                <w:lang w:val="en-US" w:eastAsia="zh-CN"/>
              </w:rPr>
              <w:t>现场巡视情况：</w:t>
            </w:r>
          </w:p>
          <w:p>
            <w:pPr>
              <w:pStyle w:val="2"/>
              <w:numPr>
                <w:ilvl w:val="0"/>
                <w:numId w:val="0"/>
              </w:numPr>
              <w:rPr>
                <w:rFonts w:hint="default"/>
                <w:lang w:val="en-US" w:eastAsia="zh-CN"/>
              </w:rPr>
            </w:pPr>
            <w:r>
              <w:rPr>
                <w:rFonts w:hint="eastAsia"/>
                <w:lang w:val="en-US" w:eastAsia="zh-CN"/>
              </w:rPr>
              <w:t>公司只有一个车间，二条生产线，生产钢结构构件，各个操作岗位都有作业指导书，</w:t>
            </w:r>
          </w:p>
          <w:p>
            <w:pPr>
              <w:rPr>
                <w:rFonts w:hint="eastAsia"/>
                <w:sz w:val="24"/>
                <w:szCs w:val="24"/>
                <w:lang w:val="en-US" w:eastAsia="zh-CN"/>
              </w:rPr>
            </w:pPr>
            <w:r>
              <w:rPr>
                <w:rFonts w:hint="eastAsia"/>
                <w:sz w:val="24"/>
                <w:szCs w:val="24"/>
                <w:lang w:val="en-US" w:eastAsia="zh-CN"/>
              </w:rPr>
              <w:t>现场查看生产控制和设备运行情况，部分生产设备正在运行，现场生产秩序良好，未发现空运转现象；</w:t>
            </w:r>
          </w:p>
          <w:p>
            <w:pPr>
              <w:rPr>
                <w:rFonts w:hint="default"/>
                <w:sz w:val="24"/>
                <w:szCs w:val="24"/>
                <w:lang w:val="en-US" w:eastAsia="zh-CN"/>
              </w:rPr>
            </w:pPr>
          </w:p>
          <w:p>
            <w:pPr>
              <w:rPr>
                <w:rFonts w:hint="eastAsia"/>
                <w:sz w:val="24"/>
                <w:szCs w:val="24"/>
                <w:lang w:val="en-US" w:eastAsia="zh-CN"/>
              </w:rPr>
            </w:pPr>
            <w:r>
              <w:rPr>
                <w:rFonts w:hint="eastAsia"/>
                <w:sz w:val="24"/>
                <w:szCs w:val="24"/>
                <w:lang w:val="en-US" w:eastAsia="zh-CN"/>
              </w:rPr>
              <w:t>九、生产控制及设备运行情况：</w:t>
            </w:r>
          </w:p>
          <w:p>
            <w:pPr>
              <w:rPr>
                <w:rFonts w:hint="default"/>
                <w:sz w:val="24"/>
                <w:szCs w:val="24"/>
                <w:lang w:val="en-US" w:eastAsia="zh-CN"/>
              </w:rPr>
            </w:pPr>
            <w:r>
              <w:rPr>
                <w:rFonts w:hint="eastAsia"/>
                <w:sz w:val="24"/>
                <w:szCs w:val="24"/>
                <w:lang w:val="en-US" w:eastAsia="zh-CN"/>
              </w:rPr>
              <w:t>公司制定有操作规程，在生产过程中严格按照操作规程进行，设备运转良好。</w:t>
            </w:r>
          </w:p>
          <w:p>
            <w:pPr>
              <w:rPr>
                <w:rFonts w:hint="eastAsia"/>
                <w:sz w:val="24"/>
                <w:szCs w:val="24"/>
                <w:lang w:val="en-US" w:eastAsia="zh-CN"/>
              </w:rPr>
            </w:pPr>
            <w:r>
              <w:rPr>
                <w:rFonts w:hint="eastAsia"/>
                <w:sz w:val="24"/>
                <w:szCs w:val="24"/>
                <w:lang w:val="en-US" w:eastAsia="zh-CN"/>
              </w:rPr>
              <w:t>（1）公司建立了能源管理和用能奖惩制度，将用能指标分解，定期考核。</w:t>
            </w:r>
          </w:p>
          <w:p>
            <w:pPr>
              <w:rPr>
                <w:rFonts w:hint="eastAsia"/>
                <w:sz w:val="24"/>
                <w:szCs w:val="24"/>
                <w:lang w:val="en-US" w:eastAsia="zh-CN"/>
              </w:rPr>
            </w:pPr>
            <w:r>
              <w:rPr>
                <w:rFonts w:hint="eastAsia"/>
                <w:sz w:val="24"/>
                <w:szCs w:val="24"/>
                <w:lang w:val="en-US" w:eastAsia="zh-CN"/>
              </w:rPr>
              <w:t>按要求建立能耗计量、统计制度，建立能耗测试数据、能耗核算和分析结果的文件档案，并对文件进行受控管理。 </w:t>
            </w:r>
          </w:p>
          <w:p>
            <w:pPr>
              <w:rPr>
                <w:rFonts w:hint="eastAsia"/>
                <w:sz w:val="24"/>
                <w:szCs w:val="24"/>
                <w:lang w:val="en-US" w:eastAsia="zh-CN"/>
              </w:rPr>
            </w:pPr>
            <w:r>
              <w:rPr>
                <w:rFonts w:hint="eastAsia"/>
                <w:sz w:val="24"/>
                <w:szCs w:val="24"/>
                <w:lang w:val="en-US" w:eastAsia="zh-CN"/>
              </w:rPr>
              <w:t>根据GB 17167和JJF 1356的要求配备和使用能源计量器具和仪器仪表，完善能源计量管理，能源计量数据应真实、准确和完整，并有可溯源的原始记录。</w:t>
            </w:r>
          </w:p>
          <w:p>
            <w:pPr>
              <w:rPr>
                <w:rFonts w:hint="eastAsia"/>
                <w:sz w:val="24"/>
                <w:szCs w:val="24"/>
                <w:lang w:val="en-US" w:eastAsia="zh-CN"/>
              </w:rPr>
            </w:pPr>
            <w:r>
              <w:rPr>
                <w:rFonts w:hint="eastAsia"/>
                <w:sz w:val="24"/>
                <w:szCs w:val="24"/>
                <w:lang w:val="en-US" w:eastAsia="zh-CN"/>
              </w:rPr>
              <w:t>（2）节能技术措施 </w:t>
            </w:r>
          </w:p>
          <w:p>
            <w:pPr>
              <w:rPr>
                <w:rFonts w:hint="eastAsia"/>
                <w:sz w:val="24"/>
                <w:szCs w:val="24"/>
                <w:lang w:val="en-US" w:eastAsia="zh-CN"/>
              </w:rPr>
            </w:pPr>
            <w:r>
              <w:rPr>
                <w:rFonts w:hint="eastAsia"/>
                <w:sz w:val="24"/>
                <w:szCs w:val="24"/>
                <w:lang w:val="en-US" w:eastAsia="zh-CN"/>
              </w:rPr>
              <w:t>依靠技术进步，淘汰落后工艺和设备，采用有效节能的新技术、新工艺、新材料，新能源和可再生能源，提高能源利用效率。 </w:t>
            </w:r>
          </w:p>
          <w:p>
            <w:pPr>
              <w:rPr>
                <w:rFonts w:hint="eastAsia"/>
                <w:sz w:val="24"/>
                <w:szCs w:val="24"/>
                <w:lang w:val="en-US" w:eastAsia="zh-CN"/>
              </w:rPr>
            </w:pPr>
            <w:r>
              <w:rPr>
                <w:rFonts w:hint="eastAsia"/>
                <w:sz w:val="24"/>
                <w:szCs w:val="24"/>
                <w:lang w:val="en-US" w:eastAsia="zh-CN"/>
              </w:rPr>
              <w:t xml:space="preserve">在用的各种通用耗能设备符合相关的国家用能产品经济运行标准要求，达到经济运行状态。  </w:t>
            </w:r>
          </w:p>
          <w:p>
            <w:pPr>
              <w:rPr>
                <w:rFonts w:hint="default"/>
                <w:sz w:val="24"/>
                <w:szCs w:val="24"/>
                <w:lang w:val="en-US" w:eastAsia="zh-CN"/>
              </w:rPr>
            </w:pPr>
            <w:r>
              <w:rPr>
                <w:rFonts w:hint="eastAsia"/>
                <w:sz w:val="24"/>
                <w:szCs w:val="24"/>
                <w:lang w:val="en-US" w:eastAsia="zh-CN"/>
              </w:rPr>
              <w:t>（2）工序在生产过程中最大限度地加快速率，保证节能效果。</w:t>
            </w:r>
          </w:p>
        </w:tc>
        <w:tc>
          <w:tcPr>
            <w:tcW w:w="737" w:type="dxa"/>
          </w:tcPr>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160" w:type="dxa"/>
          </w:tcPr>
          <w:p>
            <w:pPr>
              <w:rPr>
                <w:rFonts w:hint="default"/>
                <w:sz w:val="24"/>
                <w:szCs w:val="24"/>
                <w:lang w:val="en-US" w:eastAsia="zh-CN"/>
              </w:rPr>
            </w:pPr>
            <w:r>
              <w:rPr>
                <w:rFonts w:hint="eastAsia"/>
                <w:sz w:val="24"/>
                <w:szCs w:val="24"/>
                <w:lang w:val="en-US" w:eastAsia="zh-CN"/>
              </w:rPr>
              <w:t>监视、分析和评价</w:t>
            </w:r>
          </w:p>
        </w:tc>
        <w:tc>
          <w:tcPr>
            <w:tcW w:w="960" w:type="dxa"/>
          </w:tcPr>
          <w:p>
            <w:pPr>
              <w:rPr>
                <w:rFonts w:hint="default"/>
                <w:sz w:val="24"/>
                <w:szCs w:val="24"/>
                <w:lang w:val="en-US" w:eastAsia="zh-CN"/>
              </w:rPr>
            </w:pPr>
            <w:r>
              <w:rPr>
                <w:rFonts w:hint="eastAsia"/>
                <w:sz w:val="24"/>
                <w:szCs w:val="24"/>
                <w:lang w:val="en-US" w:eastAsia="zh-CN"/>
              </w:rPr>
              <w:t>9.1.1</w:t>
            </w:r>
          </w:p>
        </w:tc>
        <w:tc>
          <w:tcPr>
            <w:tcW w:w="10852" w:type="dxa"/>
          </w:tcPr>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对2020年、2021年、2022年1-6月份的单位产品能耗进行分析：</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如下：</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2020年、2021年、2022年1-6月份的单位产品能耗如下：</w:t>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2020年能源绩效情况：2020年产量为产量3405.87t，全年能耗为：28.935tce，单位产品能耗为：8.496kgce/t。</w:t>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2021年绩效情况：2021年产量为产量3928.02t，全年能耗为：34.141tce，单位产品能耗为：8.692kgce/t。</w:t>
            </w:r>
          </w:p>
          <w:p>
            <w:pPr>
              <w:rPr>
                <w:rFonts w:hint="default" w:ascii="Times New Roman" w:hAnsi="Times New Roman" w:cs="Times New Roman"/>
                <w:sz w:val="24"/>
                <w:szCs w:val="24"/>
                <w:lang w:val="en-US" w:eastAsia="zh-CN"/>
              </w:rPr>
            </w:pP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2022年1-6月份年能耗情况（以kgce/t为单位进行比较）：</w:t>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2022年绩效情况：2022年1-6月份产量为产量1514.23t，能耗为：14.849tce，单位产品能耗为：9.8kgce/t。</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三年的单位产品能耗走势图如下：</w:t>
            </w:r>
          </w:p>
          <w:p>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6612890" cy="2797175"/>
                  <wp:effectExtent l="0" t="0" r="3810" b="952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有上图可知，近三年来，单位产品能耗逐渐上升。</w:t>
            </w:r>
          </w:p>
        </w:tc>
        <w:tc>
          <w:tcPr>
            <w:tcW w:w="737" w:type="dxa"/>
          </w:tcPr>
          <w:p>
            <w:pPr>
              <w:rPr>
                <w:rFonts w:hint="eastAsia"/>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eastAsia"/>
                <w:sz w:val="24"/>
                <w:szCs w:val="24"/>
                <w:lang w:val="en-US" w:eastAsia="zh-CN"/>
              </w:rPr>
            </w:pPr>
          </w:p>
          <w:p>
            <w:pPr>
              <w:pStyle w:val="2"/>
              <w:rPr>
                <w:rFonts w:hint="default"/>
                <w:sz w:val="24"/>
                <w:szCs w:val="24"/>
                <w:lang w:val="en-US" w:eastAsia="zh-CN"/>
              </w:rPr>
            </w:pPr>
            <w:r>
              <w:rPr>
                <w:rFonts w:hint="eastAsia"/>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2160" w:type="dxa"/>
          </w:tcPr>
          <w:p>
            <w:pPr>
              <w:rPr>
                <w:rFonts w:hint="default"/>
                <w:sz w:val="24"/>
                <w:szCs w:val="24"/>
                <w:lang w:val="en-US" w:eastAsia="zh-CN"/>
              </w:rPr>
            </w:pPr>
            <w:r>
              <w:rPr>
                <w:rFonts w:hint="eastAsia"/>
                <w:sz w:val="24"/>
                <w:szCs w:val="24"/>
                <w:lang w:val="en-US" w:eastAsia="zh-CN"/>
              </w:rPr>
              <w:t>合规性评价</w:t>
            </w:r>
          </w:p>
        </w:tc>
        <w:tc>
          <w:tcPr>
            <w:tcW w:w="960" w:type="dxa"/>
          </w:tcPr>
          <w:p>
            <w:pPr>
              <w:rPr>
                <w:rFonts w:hint="default"/>
                <w:color w:val="0000FF"/>
                <w:sz w:val="24"/>
                <w:szCs w:val="24"/>
                <w:lang w:val="en-US" w:eastAsia="zh-CN"/>
              </w:rPr>
            </w:pPr>
            <w:r>
              <w:rPr>
                <w:rFonts w:hint="eastAsia"/>
                <w:sz w:val="24"/>
                <w:szCs w:val="24"/>
                <w:lang w:val="en-US" w:eastAsia="zh-CN"/>
              </w:rPr>
              <w:t>9.1.2/4.2</w:t>
            </w:r>
          </w:p>
        </w:tc>
        <w:tc>
          <w:tcPr>
            <w:tcW w:w="10852" w:type="dxa"/>
          </w:tcPr>
          <w:p>
            <w:pPr>
              <w:rPr>
                <w:rFonts w:hint="default"/>
                <w:sz w:val="24"/>
                <w:szCs w:val="24"/>
                <w:lang w:val="en-US" w:eastAsia="zh-CN"/>
              </w:rPr>
            </w:pPr>
            <w:r>
              <w:rPr>
                <w:rFonts w:hint="eastAsia"/>
                <w:sz w:val="24"/>
                <w:szCs w:val="24"/>
                <w:lang w:val="en-US" w:eastAsia="zh-CN"/>
              </w:rPr>
              <w:t>提供2022年3月16日企业组织的合规性评价报告及编制的《能源法律法规清单》识别法律法规、相关标准共40项；包括：中华人民共和国节约能源法、清洁生产法、计量法、GB/T23331-2020能源管理体系 要求及使用指南等。</w:t>
            </w:r>
          </w:p>
          <w:p>
            <w:pPr>
              <w:rPr>
                <w:rFonts w:hint="eastAsia"/>
                <w:sz w:val="24"/>
                <w:szCs w:val="24"/>
                <w:lang w:val="en-US" w:eastAsia="zh-CN"/>
              </w:rPr>
            </w:pPr>
            <w:r>
              <w:rPr>
                <w:rFonts w:hint="eastAsia"/>
                <w:sz w:val="24"/>
                <w:szCs w:val="24"/>
                <w:lang w:val="en-US" w:eastAsia="zh-CN"/>
              </w:rPr>
              <w:t>提供《能源管理体系法律、法规及其它要求合规性评价报告》对识别的40项法律法规、标准进行合规性评价。</w:t>
            </w:r>
          </w:p>
          <w:p>
            <w:pPr>
              <w:rPr>
                <w:rFonts w:hint="eastAsia"/>
                <w:sz w:val="24"/>
                <w:szCs w:val="24"/>
                <w:lang w:val="en-US" w:eastAsia="zh-CN"/>
              </w:rPr>
            </w:pPr>
            <w:r>
              <w:rPr>
                <w:rFonts w:hint="eastAsia"/>
                <w:sz w:val="24"/>
                <w:szCs w:val="24"/>
                <w:lang w:val="en-US" w:eastAsia="zh-CN"/>
              </w:rPr>
              <w:t>经评价组人员的综合评价，公司严格贯彻执行国家、地方相关法律法规和其它标准要求，通过多方面、多渠道去节约能源，使公司在能源消耗方面取得了一定的成效。</w:t>
            </w:r>
          </w:p>
          <w:p>
            <w:pPr>
              <w:rPr>
                <w:rFonts w:hint="eastAsia"/>
                <w:sz w:val="24"/>
                <w:szCs w:val="24"/>
                <w:lang w:val="en-US" w:eastAsia="zh-CN"/>
              </w:rPr>
            </w:pPr>
            <w:r>
              <w:rPr>
                <w:rFonts w:hint="eastAsia"/>
                <w:sz w:val="24"/>
                <w:szCs w:val="24"/>
                <w:lang w:val="en-US" w:eastAsia="zh-CN"/>
              </w:rPr>
              <w:t>评价结论：评价组人员一致认为公司遵守国家、地方法律法规和其它要求符合、有效；全部合规。</w:t>
            </w:r>
          </w:p>
          <w:p>
            <w:pPr>
              <w:rPr>
                <w:rFonts w:hint="default"/>
                <w:sz w:val="24"/>
                <w:szCs w:val="24"/>
                <w:lang w:val="en-US" w:eastAsia="zh-CN"/>
              </w:rPr>
            </w:pPr>
          </w:p>
        </w:tc>
        <w:tc>
          <w:tcPr>
            <w:tcW w:w="737" w:type="dxa"/>
          </w:tcPr>
          <w:p>
            <w:pPr>
              <w:pStyle w:val="2"/>
              <w:rPr>
                <w:rFonts w:hint="eastAsia"/>
                <w:color w:val="0000FF"/>
                <w:sz w:val="24"/>
                <w:szCs w:val="24"/>
                <w:lang w:val="en-US" w:eastAsia="zh-CN"/>
              </w:rPr>
            </w:pPr>
          </w:p>
          <w:p>
            <w:pPr>
              <w:pStyle w:val="2"/>
              <w:rPr>
                <w:rFonts w:hint="eastAsia"/>
                <w:color w:val="0000FF"/>
                <w:sz w:val="24"/>
                <w:szCs w:val="24"/>
                <w:lang w:val="en-US" w:eastAsia="zh-CN"/>
              </w:rPr>
            </w:pPr>
          </w:p>
          <w:p>
            <w:pPr>
              <w:pStyle w:val="2"/>
              <w:rPr>
                <w:rFonts w:hint="eastAsia"/>
                <w:color w:val="0000FF"/>
                <w:sz w:val="24"/>
                <w:szCs w:val="24"/>
                <w:lang w:val="en-US" w:eastAsia="zh-CN"/>
              </w:rPr>
            </w:pPr>
          </w:p>
          <w:p>
            <w:pPr>
              <w:pStyle w:val="2"/>
              <w:rPr>
                <w:rFonts w:hint="eastAsia"/>
                <w:color w:val="0000FF"/>
                <w:sz w:val="24"/>
                <w:szCs w:val="24"/>
                <w:lang w:val="en-US" w:eastAsia="zh-CN"/>
              </w:rPr>
            </w:pPr>
          </w:p>
          <w:p>
            <w:pPr>
              <w:pStyle w:val="2"/>
              <w:rPr>
                <w:rFonts w:hint="eastAsia"/>
                <w:color w:val="0000FF"/>
                <w:sz w:val="24"/>
                <w:szCs w:val="24"/>
                <w:lang w:val="en-US" w:eastAsia="zh-CN"/>
              </w:rPr>
            </w:pPr>
          </w:p>
          <w:p>
            <w:pPr>
              <w:pStyle w:val="2"/>
              <w:rPr>
                <w:rFonts w:hint="default"/>
                <w:color w:val="0000FF"/>
                <w:sz w:val="24"/>
                <w:szCs w:val="24"/>
                <w:lang w:val="en-US" w:eastAsia="zh-CN"/>
              </w:rPr>
            </w:pPr>
            <w:r>
              <w:rPr>
                <w:rFonts w:hint="eastAsia"/>
                <w:color w:val="0000FF"/>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2160" w:type="dxa"/>
          </w:tcPr>
          <w:p>
            <w:pPr>
              <w:rPr>
                <w:rFonts w:hint="default"/>
                <w:sz w:val="24"/>
                <w:szCs w:val="24"/>
                <w:lang w:val="en-US" w:eastAsia="zh-CN"/>
              </w:rPr>
            </w:pPr>
            <w:r>
              <w:rPr>
                <w:rFonts w:hint="eastAsia"/>
                <w:sz w:val="24"/>
                <w:szCs w:val="24"/>
                <w:lang w:val="en-US" w:eastAsia="zh-CN"/>
              </w:rPr>
              <w:t>不符合及纠正措施</w:t>
            </w:r>
          </w:p>
        </w:tc>
        <w:tc>
          <w:tcPr>
            <w:tcW w:w="960" w:type="dxa"/>
          </w:tcPr>
          <w:p>
            <w:pPr>
              <w:rPr>
                <w:rFonts w:hint="eastAsia"/>
                <w:sz w:val="24"/>
                <w:szCs w:val="24"/>
                <w:lang w:val="en-US" w:eastAsia="zh-CN"/>
              </w:rPr>
            </w:pPr>
            <w:r>
              <w:rPr>
                <w:rFonts w:hint="eastAsia"/>
                <w:sz w:val="24"/>
                <w:szCs w:val="24"/>
                <w:lang w:val="en-US" w:eastAsia="zh-CN"/>
              </w:rPr>
              <w:t>En10.1</w:t>
            </w:r>
          </w:p>
          <w:p>
            <w:pPr>
              <w:rPr>
                <w:rFonts w:hint="default"/>
                <w:sz w:val="24"/>
                <w:szCs w:val="24"/>
                <w:lang w:val="en-US" w:eastAsia="zh-CN"/>
              </w:rPr>
            </w:pPr>
          </w:p>
        </w:tc>
        <w:tc>
          <w:tcPr>
            <w:tcW w:w="10852" w:type="dxa"/>
          </w:tcPr>
          <w:p>
            <w:pPr>
              <w:rPr>
                <w:rFonts w:hint="default"/>
                <w:sz w:val="24"/>
                <w:szCs w:val="24"/>
                <w:lang w:val="en-US" w:eastAsia="zh-CN"/>
              </w:rPr>
            </w:pPr>
            <w:r>
              <w:rPr>
                <w:rFonts w:hint="eastAsia"/>
                <w:sz w:val="24"/>
                <w:szCs w:val="24"/>
                <w:lang w:val="en-US" w:eastAsia="zh-CN"/>
              </w:rPr>
              <w:t>经近三年的单位产品能耗分析得出，</w:t>
            </w:r>
            <w:r>
              <w:rPr>
                <w:rFonts w:hint="eastAsia" w:ascii="Times New Roman" w:hAnsi="Times New Roman" w:cs="Times New Roman"/>
                <w:sz w:val="24"/>
                <w:szCs w:val="24"/>
                <w:lang w:val="en-US" w:eastAsia="zh-CN"/>
              </w:rPr>
              <w:t>2020年单位产品能耗为：8.496kgce/t。2021年的单位产品能耗为：8.692kgce/t，2022年1-6月份的单位产品能耗为：9.8kgce/t。有逐步升高之势，生产部没有进行原因分析，也没有制定纠正措施。</w:t>
            </w:r>
          </w:p>
        </w:tc>
        <w:tc>
          <w:tcPr>
            <w:tcW w:w="737" w:type="dxa"/>
          </w:tcPr>
          <w:p>
            <w:pPr>
              <w:pStyle w:val="2"/>
              <w:rPr>
                <w:rFonts w:hint="default"/>
                <w:sz w:val="24"/>
                <w:szCs w:val="24"/>
                <w:lang w:val="en-US" w:eastAsia="zh-CN"/>
              </w:rPr>
            </w:pPr>
          </w:p>
          <w:p>
            <w:pPr>
              <w:pStyle w:val="2"/>
              <w:rPr>
                <w:rFonts w:hint="default"/>
                <w:sz w:val="24"/>
                <w:szCs w:val="24"/>
                <w:lang w:val="en-US" w:eastAsia="zh-CN"/>
              </w:rPr>
            </w:pPr>
            <w:r>
              <w:rPr>
                <w:rFonts w:hint="eastAsia"/>
                <w:sz w:val="24"/>
                <w:szCs w:val="24"/>
                <w:lang w:val="en-US" w:eastAsia="zh-CN"/>
              </w:rPr>
              <w:t xml:space="preserve">  N</w:t>
            </w:r>
          </w:p>
        </w:tc>
      </w:tr>
    </w:tbl>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eastAsia="宋体"/>
                <w:sz w:val="24"/>
                <w:szCs w:val="24"/>
                <w:lang w:val="en-US" w:eastAsia="zh-CN"/>
              </w:rPr>
            </w:pPr>
            <w:r>
              <w:rPr>
                <w:rFonts w:hint="eastAsia" w:eastAsia="宋体"/>
                <w:sz w:val="24"/>
                <w:szCs w:val="24"/>
                <w:lang w:val="en-US" w:eastAsia="zh-CN"/>
              </w:rPr>
              <w:t>过程与活动、</w:t>
            </w:r>
          </w:p>
          <w:p>
            <w:pPr>
              <w:rPr>
                <w:rFonts w:hint="eastAsia" w:eastAsia="宋体"/>
                <w:sz w:val="24"/>
                <w:szCs w:val="24"/>
                <w:lang w:val="en-US" w:eastAsia="zh-CN"/>
              </w:rPr>
            </w:pPr>
            <w:r>
              <w:rPr>
                <w:rFonts w:hint="eastAsia" w:eastAsia="宋体"/>
                <w:sz w:val="24"/>
                <w:szCs w:val="24"/>
                <w:lang w:val="en-US" w:eastAsia="zh-CN"/>
              </w:rPr>
              <w:t>抽样计划</w:t>
            </w:r>
          </w:p>
        </w:tc>
        <w:tc>
          <w:tcPr>
            <w:tcW w:w="960" w:type="dxa"/>
            <w:vMerge w:val="restart"/>
            <w:vAlign w:val="center"/>
          </w:tcPr>
          <w:p>
            <w:pPr>
              <w:rPr>
                <w:rFonts w:hint="eastAsia" w:eastAsia="宋体"/>
                <w:sz w:val="24"/>
                <w:szCs w:val="24"/>
                <w:lang w:val="en-US" w:eastAsia="zh-CN"/>
              </w:rPr>
            </w:pPr>
            <w:r>
              <w:rPr>
                <w:rFonts w:hint="eastAsia" w:eastAsia="宋体"/>
                <w:sz w:val="24"/>
                <w:szCs w:val="24"/>
                <w:lang w:val="en-US" w:eastAsia="zh-CN"/>
              </w:rPr>
              <w:t>涉及</w:t>
            </w:r>
          </w:p>
          <w:p>
            <w:pPr>
              <w:rPr>
                <w:rFonts w:hint="eastAsia" w:eastAsia="宋体"/>
                <w:sz w:val="24"/>
                <w:szCs w:val="24"/>
                <w:lang w:val="en-US" w:eastAsia="zh-CN"/>
              </w:rPr>
            </w:pPr>
            <w:r>
              <w:rPr>
                <w:rFonts w:hint="eastAsia" w:eastAsia="宋体"/>
                <w:sz w:val="24"/>
                <w:szCs w:val="24"/>
                <w:lang w:val="en-US" w:eastAsia="zh-CN"/>
              </w:rPr>
              <w:t>条款</w:t>
            </w:r>
          </w:p>
        </w:tc>
        <w:tc>
          <w:tcPr>
            <w:tcW w:w="10738" w:type="dxa"/>
            <w:vAlign w:val="center"/>
          </w:tcPr>
          <w:p>
            <w:pPr>
              <w:rPr>
                <w:rFonts w:hint="eastAsia" w:eastAsia="宋体"/>
                <w:sz w:val="24"/>
                <w:szCs w:val="24"/>
                <w:lang w:val="en-US" w:eastAsia="zh-CN"/>
              </w:rPr>
            </w:pPr>
            <w:r>
              <w:rPr>
                <w:rFonts w:hint="eastAsia" w:eastAsia="宋体"/>
                <w:sz w:val="24"/>
                <w:szCs w:val="24"/>
                <w:lang w:val="en-US" w:eastAsia="zh-CN"/>
              </w:rPr>
              <w:t>受审核部门：</w:t>
            </w:r>
            <w:r>
              <w:rPr>
                <w:rFonts w:hint="eastAsia" w:ascii="Times New Roman" w:hAnsi="Times New Roman" w:eastAsia="宋体" w:cs="Times New Roman"/>
                <w:sz w:val="24"/>
                <w:szCs w:val="24"/>
                <w:lang w:val="en-US" w:eastAsia="zh-CN"/>
              </w:rPr>
              <w:t xml:space="preserve">供应部  </w:t>
            </w:r>
            <w:r>
              <w:rPr>
                <w:rFonts w:hint="eastAsia" w:eastAsia="宋体"/>
                <w:sz w:val="24"/>
                <w:szCs w:val="24"/>
                <w:lang w:val="en-US" w:eastAsia="zh-CN"/>
              </w:rPr>
              <w:t xml:space="preserve">    主管领导：朱向荣    陪同人员： 张霞</w:t>
            </w:r>
          </w:p>
        </w:tc>
        <w:tc>
          <w:tcPr>
            <w:tcW w:w="851" w:type="dxa"/>
            <w:vMerge w:val="restart"/>
            <w:vAlign w:val="center"/>
          </w:tcPr>
          <w:p>
            <w:pPr>
              <w:rPr>
                <w:rFonts w:hint="eastAsia" w:eastAsia="宋体"/>
                <w:sz w:val="24"/>
                <w:szCs w:val="24"/>
                <w:lang w:val="en-US" w:eastAsia="zh-CN"/>
              </w:rPr>
            </w:pPr>
            <w:r>
              <w:rPr>
                <w:rFonts w:hint="eastAsia" w:eastAsia="宋体"/>
                <w:sz w:val="24"/>
                <w:szCs w:val="24"/>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eastAsia="宋体"/>
                <w:sz w:val="24"/>
                <w:szCs w:val="24"/>
                <w:lang w:val="en-US" w:eastAsia="zh-CN"/>
              </w:rPr>
            </w:pPr>
          </w:p>
        </w:tc>
        <w:tc>
          <w:tcPr>
            <w:tcW w:w="960" w:type="dxa"/>
            <w:vMerge w:val="continue"/>
            <w:vAlign w:val="center"/>
          </w:tcPr>
          <w:p>
            <w:pPr>
              <w:rPr>
                <w:rFonts w:hint="eastAsia" w:eastAsia="宋体"/>
                <w:sz w:val="24"/>
                <w:szCs w:val="24"/>
                <w:lang w:val="en-US" w:eastAsia="zh-CN"/>
              </w:rPr>
            </w:pPr>
          </w:p>
        </w:tc>
        <w:tc>
          <w:tcPr>
            <w:tcW w:w="10738" w:type="dxa"/>
            <w:vAlign w:val="center"/>
          </w:tcPr>
          <w:p>
            <w:pPr>
              <w:rPr>
                <w:rFonts w:hint="default" w:eastAsia="宋体"/>
                <w:sz w:val="24"/>
                <w:szCs w:val="24"/>
                <w:lang w:val="en-US" w:eastAsia="zh-CN"/>
              </w:rPr>
            </w:pPr>
            <w:r>
              <w:rPr>
                <w:rFonts w:hint="eastAsia" w:eastAsia="宋体"/>
                <w:sz w:val="24"/>
                <w:szCs w:val="24"/>
                <w:lang w:val="en-US" w:eastAsia="zh-CN"/>
              </w:rPr>
              <w:t>审核员：周涛             审核时间：2022-7-18</w:t>
            </w:r>
          </w:p>
        </w:tc>
        <w:tc>
          <w:tcPr>
            <w:tcW w:w="851" w:type="dxa"/>
            <w:vMerge w:val="continue"/>
          </w:tcPr>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60" w:type="dxa"/>
            <w:vMerge w:val="continue"/>
            <w:vAlign w:val="center"/>
          </w:tcPr>
          <w:p>
            <w:pPr>
              <w:rPr>
                <w:rFonts w:hint="eastAsia" w:eastAsia="宋体"/>
                <w:sz w:val="24"/>
                <w:szCs w:val="24"/>
                <w:lang w:val="en-US" w:eastAsia="zh-CN"/>
              </w:rPr>
            </w:pPr>
          </w:p>
        </w:tc>
        <w:tc>
          <w:tcPr>
            <w:tcW w:w="960" w:type="dxa"/>
            <w:vMerge w:val="continue"/>
            <w:vAlign w:val="center"/>
          </w:tcPr>
          <w:p>
            <w:pPr>
              <w:rPr>
                <w:rFonts w:hint="eastAsia" w:eastAsia="宋体"/>
                <w:sz w:val="24"/>
                <w:szCs w:val="24"/>
                <w:lang w:val="en-US" w:eastAsia="zh-CN"/>
              </w:rPr>
            </w:pPr>
          </w:p>
        </w:tc>
        <w:tc>
          <w:tcPr>
            <w:tcW w:w="10738" w:type="dxa"/>
            <w:vAlign w:val="center"/>
          </w:tcPr>
          <w:p>
            <w:pPr>
              <w:rPr>
                <w:rFonts w:hint="eastAsia" w:eastAsia="宋体"/>
                <w:sz w:val="24"/>
                <w:szCs w:val="24"/>
                <w:lang w:val="en-US" w:eastAsia="zh-CN"/>
              </w:rPr>
            </w:pPr>
            <w:r>
              <w:rPr>
                <w:rFonts w:hint="eastAsia" w:eastAsia="宋体"/>
                <w:sz w:val="24"/>
                <w:szCs w:val="24"/>
                <w:lang w:val="en-US" w:eastAsia="zh-CN"/>
              </w:rPr>
              <w:t>审核条款：5.3 组织的岗位、职责和权限、8.1 运行的策划和控制、8.3采购。EnMS:5.3/8.1/8.3。</w:t>
            </w:r>
          </w:p>
        </w:tc>
        <w:tc>
          <w:tcPr>
            <w:tcW w:w="851" w:type="dxa"/>
            <w:vMerge w:val="continue"/>
          </w:tcPr>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2160" w:type="dxa"/>
          </w:tcPr>
          <w:p>
            <w:pPr>
              <w:rPr>
                <w:rFonts w:hint="eastAsia" w:eastAsia="宋体"/>
                <w:sz w:val="24"/>
                <w:szCs w:val="24"/>
                <w:lang w:val="en-US" w:eastAsia="zh-CN"/>
              </w:rPr>
            </w:pPr>
            <w:r>
              <w:rPr>
                <w:rFonts w:hint="eastAsia" w:eastAsia="宋体"/>
                <w:sz w:val="24"/>
                <w:szCs w:val="24"/>
                <w:lang w:val="en-US" w:eastAsia="zh-CN"/>
              </w:rPr>
              <w:t>1.组织的岗位、职责和权限，</w:t>
            </w:r>
          </w:p>
          <w:p>
            <w:pPr>
              <w:rPr>
                <w:rFonts w:hint="eastAsia" w:eastAsia="宋体"/>
                <w:sz w:val="24"/>
                <w:szCs w:val="24"/>
                <w:lang w:val="en-US" w:eastAsia="zh-CN"/>
              </w:rPr>
            </w:pPr>
            <w:r>
              <w:rPr>
                <w:rFonts w:hint="eastAsia" w:eastAsia="宋体"/>
                <w:sz w:val="24"/>
                <w:szCs w:val="24"/>
                <w:lang w:val="en-US" w:eastAsia="zh-CN"/>
              </w:rPr>
              <w:t>2.目标、能源指及其实现的策划</w:t>
            </w:r>
          </w:p>
        </w:tc>
        <w:tc>
          <w:tcPr>
            <w:tcW w:w="960" w:type="dxa"/>
          </w:tcPr>
          <w:p>
            <w:pPr>
              <w:rPr>
                <w:rFonts w:hint="eastAsia" w:eastAsia="宋体"/>
                <w:sz w:val="24"/>
                <w:szCs w:val="24"/>
                <w:lang w:val="en-US" w:eastAsia="zh-CN"/>
              </w:rPr>
            </w:pPr>
            <w:r>
              <w:rPr>
                <w:rFonts w:hint="eastAsia" w:eastAsia="宋体"/>
                <w:sz w:val="24"/>
                <w:szCs w:val="24"/>
                <w:lang w:val="en-US" w:eastAsia="zh-CN"/>
              </w:rPr>
              <w:t>5.3</w:t>
            </w:r>
          </w:p>
        </w:tc>
        <w:tc>
          <w:tcPr>
            <w:tcW w:w="10738" w:type="dxa"/>
          </w:tcPr>
          <w:p>
            <w:pPr>
              <w:rPr>
                <w:rFonts w:hint="default" w:eastAsia="宋体"/>
                <w:sz w:val="24"/>
                <w:szCs w:val="24"/>
                <w:lang w:val="en-US" w:eastAsia="zh-CN"/>
              </w:rPr>
            </w:pPr>
            <w:r>
              <w:rPr>
                <w:rFonts w:hint="eastAsia" w:ascii="Times New Roman" w:hAnsi="Times New Roman" w:eastAsia="宋体" w:cs="Times New Roman"/>
                <w:sz w:val="24"/>
                <w:szCs w:val="24"/>
                <w:lang w:val="en-US" w:eastAsia="zh-CN"/>
              </w:rPr>
              <w:t>供应部</w:t>
            </w:r>
            <w:r>
              <w:rPr>
                <w:rFonts w:hint="eastAsia" w:eastAsia="宋体"/>
                <w:sz w:val="24"/>
                <w:szCs w:val="24"/>
                <w:lang w:val="en-US" w:eastAsia="zh-CN"/>
              </w:rPr>
              <w:t>职责：</w:t>
            </w:r>
          </w:p>
          <w:p>
            <w:pPr>
              <w:rPr>
                <w:rFonts w:hint="default" w:eastAsia="宋体"/>
                <w:sz w:val="24"/>
                <w:szCs w:val="24"/>
                <w:lang w:val="en-US" w:eastAsia="zh-CN"/>
              </w:rPr>
            </w:pPr>
            <w:r>
              <w:rPr>
                <w:rFonts w:hint="default" w:eastAsia="宋体"/>
                <w:sz w:val="24"/>
                <w:szCs w:val="24"/>
                <w:lang w:val="en-US" w:eastAsia="zh-CN"/>
              </w:rPr>
              <w:t xml:space="preserve">（1）制订年度国内采购计划，落实年度采购目标； </w:t>
            </w:r>
          </w:p>
          <w:p>
            <w:pPr>
              <w:rPr>
                <w:rFonts w:hint="default" w:eastAsia="宋体"/>
                <w:sz w:val="24"/>
                <w:szCs w:val="24"/>
                <w:lang w:val="en-US" w:eastAsia="zh-CN"/>
              </w:rPr>
            </w:pPr>
            <w:r>
              <w:rPr>
                <w:rFonts w:hint="default" w:eastAsia="宋体"/>
                <w:sz w:val="24"/>
                <w:szCs w:val="24"/>
                <w:lang w:val="en-US" w:eastAsia="zh-CN"/>
              </w:rPr>
              <w:t xml:space="preserve">（2）组织合同评审、对采购合同的质量负责； </w:t>
            </w:r>
          </w:p>
          <w:p>
            <w:pPr>
              <w:rPr>
                <w:rFonts w:hint="default" w:eastAsia="宋体"/>
                <w:sz w:val="24"/>
                <w:szCs w:val="24"/>
                <w:lang w:val="en-US" w:eastAsia="zh-CN"/>
              </w:rPr>
            </w:pPr>
            <w:r>
              <w:rPr>
                <w:rFonts w:hint="default" w:eastAsia="宋体"/>
                <w:sz w:val="24"/>
                <w:szCs w:val="24"/>
                <w:lang w:val="en-US" w:eastAsia="zh-CN"/>
              </w:rPr>
              <w:t xml:space="preserve">（3）负责采购项目的报价； </w:t>
            </w:r>
          </w:p>
          <w:p>
            <w:pPr>
              <w:rPr>
                <w:rFonts w:hint="default" w:eastAsia="宋体"/>
                <w:sz w:val="24"/>
                <w:szCs w:val="24"/>
                <w:lang w:val="en-US" w:eastAsia="zh-CN"/>
              </w:rPr>
            </w:pPr>
            <w:r>
              <w:rPr>
                <w:rFonts w:hint="default" w:eastAsia="宋体"/>
                <w:sz w:val="24"/>
                <w:szCs w:val="24"/>
                <w:lang w:val="en-US" w:eastAsia="zh-CN"/>
              </w:rPr>
              <w:t xml:space="preserve">（4）采购按合同履行要求提出建议，并控制交货期进度； </w:t>
            </w:r>
          </w:p>
          <w:p>
            <w:pPr>
              <w:rPr>
                <w:rFonts w:hint="default" w:eastAsia="宋体"/>
                <w:sz w:val="24"/>
                <w:szCs w:val="24"/>
                <w:lang w:val="en-US" w:eastAsia="zh-CN"/>
              </w:rPr>
            </w:pPr>
            <w:r>
              <w:rPr>
                <w:rFonts w:hint="default" w:eastAsia="宋体"/>
                <w:sz w:val="24"/>
                <w:szCs w:val="24"/>
                <w:lang w:val="en-US" w:eastAsia="zh-CN"/>
              </w:rPr>
              <w:t xml:space="preserve">（5）定期对采购合同统计； </w:t>
            </w:r>
          </w:p>
          <w:p>
            <w:pPr>
              <w:rPr>
                <w:rFonts w:hint="default" w:eastAsia="宋体"/>
                <w:sz w:val="24"/>
                <w:szCs w:val="24"/>
                <w:lang w:val="en-US" w:eastAsia="zh-CN"/>
              </w:rPr>
            </w:pPr>
            <w:r>
              <w:rPr>
                <w:rFonts w:hint="default" w:eastAsia="宋体"/>
                <w:sz w:val="24"/>
                <w:szCs w:val="24"/>
                <w:lang w:val="en-US" w:eastAsia="zh-CN"/>
              </w:rPr>
              <w:t xml:space="preserve">（6）建立客户档案，反馈用户信息，管理客户资料； </w:t>
            </w:r>
          </w:p>
          <w:p>
            <w:pPr>
              <w:rPr>
                <w:rFonts w:hint="default" w:eastAsia="宋体"/>
                <w:sz w:val="24"/>
                <w:szCs w:val="24"/>
                <w:lang w:val="en-US" w:eastAsia="zh-CN"/>
              </w:rPr>
            </w:pPr>
            <w:r>
              <w:rPr>
                <w:rFonts w:hint="default" w:eastAsia="宋体"/>
                <w:sz w:val="24"/>
                <w:szCs w:val="24"/>
                <w:lang w:val="en-US" w:eastAsia="zh-CN"/>
              </w:rPr>
              <w:t>（7）协助生产管理部的生产计划管理工作，及时提供采购物资的规格、数量。</w:t>
            </w:r>
          </w:p>
          <w:p>
            <w:pPr>
              <w:rPr>
                <w:rFonts w:hint="default" w:eastAsia="宋体"/>
                <w:sz w:val="24"/>
                <w:szCs w:val="24"/>
                <w:lang w:val="en-US" w:eastAsia="zh-CN"/>
              </w:rPr>
            </w:pPr>
            <w:r>
              <w:rPr>
                <w:rFonts w:hint="default" w:eastAsia="宋体"/>
                <w:sz w:val="24"/>
                <w:szCs w:val="24"/>
                <w:lang w:val="en-US" w:eastAsia="zh-CN"/>
              </w:rPr>
              <w:t xml:space="preserve">（8）制定与调整产品采购价格； </w:t>
            </w:r>
          </w:p>
          <w:p>
            <w:pPr>
              <w:rPr>
                <w:rFonts w:hint="default" w:eastAsia="宋体"/>
                <w:sz w:val="24"/>
                <w:szCs w:val="24"/>
                <w:lang w:val="en-US" w:eastAsia="zh-CN"/>
              </w:rPr>
            </w:pPr>
            <w:r>
              <w:rPr>
                <w:rFonts w:hint="default" w:eastAsia="宋体"/>
                <w:sz w:val="24"/>
                <w:szCs w:val="24"/>
                <w:lang w:val="en-US" w:eastAsia="zh-CN"/>
              </w:rPr>
              <w:t xml:space="preserve">（9）做好本部门 5S 和安全管理工作； </w:t>
            </w:r>
          </w:p>
          <w:p>
            <w:pPr>
              <w:rPr>
                <w:rFonts w:hint="default" w:eastAsia="宋体"/>
                <w:sz w:val="24"/>
                <w:szCs w:val="24"/>
                <w:lang w:val="en-US" w:eastAsia="zh-CN"/>
              </w:rPr>
            </w:pPr>
            <w:r>
              <w:rPr>
                <w:rFonts w:hint="default" w:eastAsia="宋体"/>
                <w:sz w:val="24"/>
                <w:szCs w:val="24"/>
                <w:lang w:val="en-US" w:eastAsia="zh-CN"/>
              </w:rPr>
              <w:t>（10）做好上级交办的其他工作。</w:t>
            </w:r>
          </w:p>
          <w:p>
            <w:pPr>
              <w:rPr>
                <w:rFonts w:hint="default" w:eastAsia="宋体"/>
                <w:sz w:val="24"/>
                <w:szCs w:val="24"/>
                <w:lang w:val="en-US" w:eastAsia="zh-CN"/>
              </w:rPr>
            </w:pPr>
            <w:r>
              <w:rPr>
                <w:rFonts w:hint="default" w:eastAsia="宋体"/>
                <w:sz w:val="24"/>
                <w:szCs w:val="24"/>
                <w:lang w:val="en-US" w:eastAsia="zh-CN"/>
              </w:rPr>
              <w:t>（11）做好能源物资预算。</w:t>
            </w:r>
          </w:p>
        </w:tc>
        <w:tc>
          <w:tcPr>
            <w:tcW w:w="851" w:type="dxa"/>
          </w:tcPr>
          <w:p>
            <w:pPr>
              <w:rPr>
                <w:rFonts w:hint="eastAsia" w:eastAsia="宋体"/>
                <w:sz w:val="24"/>
                <w:szCs w:val="24"/>
                <w:lang w:val="en-US" w:eastAsia="zh-CN"/>
              </w:rPr>
            </w:pPr>
          </w:p>
          <w:p>
            <w:pPr>
              <w:rPr>
                <w:rFonts w:hint="eastAsia" w:eastAsia="宋体"/>
                <w:sz w:val="24"/>
                <w:szCs w:val="24"/>
                <w:lang w:val="en-US" w:eastAsia="zh-CN"/>
              </w:rPr>
            </w:pPr>
          </w:p>
          <w:p>
            <w:pPr>
              <w:pStyle w:val="13"/>
              <w:rPr>
                <w:rFonts w:hint="eastAsia" w:eastAsia="宋体"/>
                <w:sz w:val="24"/>
                <w:szCs w:val="24"/>
                <w:lang w:val="en-US" w:eastAsia="zh-CN"/>
              </w:rPr>
            </w:pPr>
          </w:p>
          <w:p>
            <w:pPr>
              <w:pStyle w:val="13"/>
              <w:rPr>
                <w:rFonts w:hint="eastAsia" w:eastAsia="宋体"/>
                <w:sz w:val="24"/>
                <w:szCs w:val="24"/>
                <w:lang w:val="en-US" w:eastAsia="zh-CN"/>
              </w:rPr>
            </w:pPr>
          </w:p>
          <w:p>
            <w:pPr>
              <w:pStyle w:val="13"/>
              <w:rPr>
                <w:rFonts w:hint="eastAsia" w:eastAsia="宋体"/>
                <w:sz w:val="24"/>
                <w:szCs w:val="24"/>
                <w:lang w:val="en-US" w:eastAsia="zh-CN"/>
              </w:rPr>
            </w:pPr>
          </w:p>
          <w:p>
            <w:pPr>
              <w:rPr>
                <w:rFonts w:hint="eastAsia" w:eastAsia="宋体"/>
                <w:sz w:val="24"/>
                <w:szCs w:val="24"/>
                <w:lang w:val="en-US" w:eastAsia="zh-CN"/>
              </w:rPr>
            </w:pPr>
            <w:r>
              <w:rPr>
                <w:rFonts w:hint="eastAsia" w:eastAsia="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160" w:type="dxa"/>
          </w:tcPr>
          <w:p>
            <w:pPr>
              <w:rPr>
                <w:rFonts w:hint="eastAsia" w:eastAsia="宋体"/>
                <w:sz w:val="24"/>
                <w:szCs w:val="24"/>
                <w:lang w:val="en-US" w:eastAsia="zh-CN"/>
              </w:rPr>
            </w:pPr>
            <w:r>
              <w:rPr>
                <w:rFonts w:hint="eastAsia" w:eastAsia="宋体"/>
                <w:sz w:val="24"/>
                <w:szCs w:val="24"/>
                <w:lang w:val="en-US" w:eastAsia="zh-CN"/>
              </w:rPr>
              <w:t>2.目标、能源指及其实现的策划</w:t>
            </w:r>
          </w:p>
        </w:tc>
        <w:tc>
          <w:tcPr>
            <w:tcW w:w="960" w:type="dxa"/>
          </w:tcPr>
          <w:p>
            <w:pPr>
              <w:rPr>
                <w:rFonts w:hint="default" w:eastAsia="宋体"/>
                <w:sz w:val="24"/>
                <w:szCs w:val="24"/>
                <w:lang w:val="en-US" w:eastAsia="zh-CN"/>
              </w:rPr>
            </w:pPr>
            <w:r>
              <w:rPr>
                <w:rFonts w:hint="eastAsia" w:eastAsia="宋体"/>
                <w:sz w:val="24"/>
                <w:szCs w:val="24"/>
                <w:lang w:val="en-US" w:eastAsia="zh-CN"/>
              </w:rPr>
              <w:t>6.2</w:t>
            </w:r>
          </w:p>
        </w:tc>
        <w:tc>
          <w:tcPr>
            <w:tcW w:w="10738" w:type="dxa"/>
          </w:tcPr>
          <w:p>
            <w:pPr>
              <w:rPr>
                <w:rFonts w:hint="default" w:eastAsia="宋体"/>
                <w:sz w:val="24"/>
                <w:szCs w:val="24"/>
                <w:lang w:val="en-US" w:eastAsia="zh-CN"/>
              </w:rPr>
            </w:pPr>
            <w:r>
              <w:rPr>
                <w:rFonts w:hint="eastAsia" w:eastAsia="宋体"/>
                <w:sz w:val="24"/>
                <w:szCs w:val="24"/>
                <w:lang w:val="en-US" w:eastAsia="zh-CN"/>
              </w:rPr>
              <w:t>供应部没有制定本部门的能源目标，执行公司的能源目标。</w:t>
            </w:r>
          </w:p>
        </w:tc>
        <w:tc>
          <w:tcPr>
            <w:tcW w:w="851" w:type="dxa"/>
          </w:tcPr>
          <w:p>
            <w:pPr>
              <w:rPr>
                <w:rFonts w:hint="eastAsia" w:eastAsia="宋体"/>
                <w:sz w:val="24"/>
                <w:szCs w:val="24"/>
                <w:lang w:val="en-US" w:eastAsia="zh-CN"/>
              </w:rPr>
            </w:pPr>
            <w:r>
              <w:rPr>
                <w:rFonts w:hint="eastAsia" w:eastAsia="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60" w:type="dxa"/>
          </w:tcPr>
          <w:p>
            <w:pPr>
              <w:rPr>
                <w:rFonts w:hint="eastAsia" w:eastAsia="宋体"/>
                <w:sz w:val="24"/>
                <w:szCs w:val="24"/>
                <w:lang w:val="en-US" w:eastAsia="zh-CN"/>
              </w:rPr>
            </w:pPr>
            <w:r>
              <w:rPr>
                <w:rFonts w:hint="eastAsia" w:eastAsia="宋体"/>
                <w:sz w:val="24"/>
                <w:szCs w:val="24"/>
                <w:lang w:val="en-US" w:eastAsia="zh-CN"/>
              </w:rPr>
              <w:t>3.运行的策划和控制；</w:t>
            </w:r>
          </w:p>
          <w:p>
            <w:pPr>
              <w:rPr>
                <w:rFonts w:hint="eastAsia" w:eastAsia="宋体"/>
                <w:sz w:val="24"/>
                <w:szCs w:val="24"/>
                <w:lang w:val="en-US" w:eastAsia="zh-CN"/>
              </w:rPr>
            </w:pPr>
            <w:r>
              <w:rPr>
                <w:rFonts w:hint="eastAsia" w:eastAsia="宋体"/>
                <w:sz w:val="24"/>
                <w:szCs w:val="24"/>
                <w:lang w:val="en-US" w:eastAsia="zh-CN"/>
              </w:rPr>
              <w:t>4.采购</w:t>
            </w:r>
          </w:p>
          <w:p>
            <w:pPr>
              <w:rPr>
                <w:rFonts w:hint="default" w:eastAsia="宋体"/>
                <w:sz w:val="24"/>
                <w:szCs w:val="24"/>
                <w:lang w:val="en-US" w:eastAsia="zh-CN"/>
              </w:rPr>
            </w:pPr>
          </w:p>
        </w:tc>
        <w:tc>
          <w:tcPr>
            <w:tcW w:w="960" w:type="dxa"/>
          </w:tcPr>
          <w:p>
            <w:pPr>
              <w:rPr>
                <w:rFonts w:hint="eastAsia" w:eastAsia="宋体"/>
                <w:sz w:val="24"/>
                <w:szCs w:val="24"/>
                <w:lang w:val="en-US" w:eastAsia="zh-CN"/>
              </w:rPr>
            </w:pPr>
            <w:r>
              <w:rPr>
                <w:rFonts w:hint="eastAsia" w:eastAsia="宋体"/>
                <w:sz w:val="24"/>
                <w:szCs w:val="24"/>
                <w:lang w:val="en-US" w:eastAsia="zh-CN"/>
              </w:rPr>
              <w:t>8.1/8.3</w:t>
            </w:r>
          </w:p>
          <w:p>
            <w:pPr>
              <w:rPr>
                <w:rFonts w:hint="default" w:eastAsia="宋体"/>
                <w:sz w:val="24"/>
                <w:szCs w:val="24"/>
                <w:lang w:val="en-US" w:eastAsia="zh-CN"/>
              </w:rPr>
            </w:pPr>
          </w:p>
        </w:tc>
        <w:tc>
          <w:tcPr>
            <w:tcW w:w="10738" w:type="dxa"/>
          </w:tcPr>
          <w:p>
            <w:pPr>
              <w:rPr>
                <w:rFonts w:hint="default" w:eastAsia="宋体"/>
                <w:sz w:val="24"/>
                <w:szCs w:val="24"/>
                <w:lang w:val="en-US" w:eastAsia="zh-CN"/>
              </w:rPr>
            </w:pPr>
            <w:r>
              <w:rPr>
                <w:rFonts w:hint="eastAsia" w:eastAsia="宋体"/>
                <w:sz w:val="24"/>
                <w:szCs w:val="24"/>
                <w:lang w:val="en-US" w:eastAsia="zh-CN"/>
              </w:rPr>
              <w:t>1、提供文件化信息：《能源管理手册》《程序文件清单》《SX-SOP-E02-0001-AO采购管理制度控制程序》等，有发布，实施。有编审批。确保了其适宜性和充分性。</w:t>
            </w:r>
          </w:p>
          <w:p>
            <w:pPr>
              <w:rPr>
                <w:rFonts w:hint="default" w:eastAsia="宋体"/>
                <w:sz w:val="24"/>
                <w:szCs w:val="24"/>
                <w:lang w:val="en-US" w:eastAsia="zh-CN"/>
              </w:rPr>
            </w:pPr>
            <w:r>
              <w:rPr>
                <w:rFonts w:hint="eastAsia" w:eastAsia="宋体"/>
                <w:sz w:val="24"/>
                <w:szCs w:val="24"/>
                <w:lang w:val="en-US" w:eastAsia="zh-CN"/>
              </w:rPr>
              <w:t>2、关于能源服务、产品和设备的采购，公司规定</w:t>
            </w:r>
          </w:p>
          <w:p>
            <w:pPr>
              <w:rPr>
                <w:rFonts w:hint="eastAsia" w:eastAsia="宋体"/>
                <w:sz w:val="24"/>
                <w:szCs w:val="24"/>
                <w:lang w:val="en-US" w:eastAsia="zh-CN"/>
              </w:rPr>
            </w:pPr>
            <w:r>
              <w:rPr>
                <w:rFonts w:hint="eastAsia" w:eastAsia="宋体"/>
                <w:sz w:val="24"/>
                <w:szCs w:val="24"/>
                <w:lang w:val="en-US" w:eastAsia="zh-CN"/>
              </w:rPr>
              <w:t xml:space="preserve">a）在采购对主要能源使用具有影响的能源服务、产品和设备时，采购文件和合同中应明确能源绩效要求。 </w:t>
            </w:r>
          </w:p>
          <w:p>
            <w:pPr>
              <w:rPr>
                <w:rFonts w:hint="eastAsia" w:eastAsia="宋体"/>
                <w:sz w:val="24"/>
                <w:szCs w:val="24"/>
                <w:lang w:val="en-US" w:eastAsia="zh-CN"/>
              </w:rPr>
            </w:pPr>
            <w:r>
              <w:rPr>
                <w:rFonts w:hint="eastAsia" w:eastAsia="宋体"/>
                <w:sz w:val="24"/>
                <w:szCs w:val="24"/>
                <w:lang w:val="en-US" w:eastAsia="zh-CN"/>
              </w:rPr>
              <w:t xml:space="preserve">b）在能源服务采购时，应考虑： </w:t>
            </w:r>
          </w:p>
          <w:p>
            <w:pPr>
              <w:rPr>
                <w:rFonts w:hint="eastAsia" w:eastAsia="宋体"/>
                <w:sz w:val="24"/>
                <w:szCs w:val="24"/>
                <w:lang w:val="en-US" w:eastAsia="zh-CN"/>
              </w:rPr>
            </w:pPr>
            <w:r>
              <w:rPr>
                <w:rFonts w:hint="eastAsia" w:eastAsia="宋体"/>
                <w:sz w:val="24"/>
                <w:szCs w:val="24"/>
                <w:lang w:val="en-US" w:eastAsia="zh-CN"/>
              </w:rPr>
              <w:t xml:space="preserve">--用能设备操作人员的能力水平； </w:t>
            </w:r>
          </w:p>
          <w:p>
            <w:pPr>
              <w:rPr>
                <w:rFonts w:hint="eastAsia" w:eastAsia="宋体"/>
                <w:sz w:val="24"/>
                <w:szCs w:val="24"/>
                <w:lang w:val="en-US" w:eastAsia="zh-CN"/>
              </w:rPr>
            </w:pPr>
            <w:r>
              <w:rPr>
                <w:rFonts w:hint="eastAsia" w:eastAsia="宋体"/>
                <w:sz w:val="24"/>
                <w:szCs w:val="24"/>
                <w:lang w:val="en-US" w:eastAsia="zh-CN"/>
              </w:rPr>
              <w:t xml:space="preserve">--供应商自身的资质、信誉、技术实力、经验等； </w:t>
            </w:r>
          </w:p>
          <w:p>
            <w:pPr>
              <w:rPr>
                <w:rFonts w:hint="eastAsia" w:eastAsia="宋体"/>
                <w:sz w:val="24"/>
                <w:szCs w:val="24"/>
                <w:lang w:val="en-US" w:eastAsia="zh-CN"/>
              </w:rPr>
            </w:pPr>
            <w:r>
              <w:rPr>
                <w:rFonts w:hint="eastAsia" w:eastAsia="宋体"/>
                <w:sz w:val="24"/>
                <w:szCs w:val="24"/>
                <w:lang w:val="en-US" w:eastAsia="zh-CN"/>
              </w:rPr>
              <w:t xml:space="preserve">--能源绩效的评价方法和预期效果。 </w:t>
            </w:r>
          </w:p>
          <w:p>
            <w:pPr>
              <w:rPr>
                <w:rFonts w:hint="eastAsia" w:eastAsia="宋体"/>
                <w:sz w:val="24"/>
                <w:szCs w:val="24"/>
                <w:lang w:val="en-US" w:eastAsia="zh-CN"/>
              </w:rPr>
            </w:pPr>
            <w:r>
              <w:rPr>
                <w:rFonts w:hint="eastAsia" w:eastAsia="宋体"/>
                <w:sz w:val="24"/>
                <w:szCs w:val="24"/>
                <w:lang w:val="en-US" w:eastAsia="zh-CN"/>
              </w:rPr>
              <w:t xml:space="preserve">c）在产品和设备采购时，应考虑： </w:t>
            </w:r>
          </w:p>
          <w:p>
            <w:pPr>
              <w:rPr>
                <w:rFonts w:hint="eastAsia" w:eastAsia="宋体"/>
                <w:sz w:val="24"/>
                <w:szCs w:val="24"/>
                <w:lang w:val="en-US" w:eastAsia="zh-CN"/>
              </w:rPr>
            </w:pPr>
            <w:r>
              <w:rPr>
                <w:rFonts w:hint="eastAsia" w:eastAsia="宋体"/>
                <w:sz w:val="24"/>
                <w:szCs w:val="24"/>
                <w:lang w:val="en-US" w:eastAsia="zh-CN"/>
              </w:rPr>
              <w:t xml:space="preserve">--产品和设备的能效水平； </w:t>
            </w:r>
          </w:p>
          <w:p>
            <w:pPr>
              <w:rPr>
                <w:rFonts w:hint="eastAsia" w:eastAsia="宋体"/>
                <w:sz w:val="24"/>
                <w:szCs w:val="24"/>
                <w:lang w:val="en-US" w:eastAsia="zh-CN"/>
              </w:rPr>
            </w:pPr>
            <w:r>
              <w:rPr>
                <w:rFonts w:hint="eastAsia" w:eastAsia="宋体"/>
                <w:sz w:val="24"/>
                <w:szCs w:val="24"/>
                <w:lang w:val="en-US" w:eastAsia="zh-CN"/>
              </w:rPr>
              <w:t xml:space="preserve">--与整个用能系统的匹配程度； </w:t>
            </w:r>
          </w:p>
          <w:p>
            <w:pPr>
              <w:rPr>
                <w:rFonts w:hint="eastAsia" w:eastAsia="宋体"/>
                <w:sz w:val="24"/>
                <w:szCs w:val="24"/>
                <w:lang w:val="en-US" w:eastAsia="zh-CN"/>
              </w:rPr>
            </w:pPr>
            <w:r>
              <w:rPr>
                <w:rFonts w:hint="eastAsia" w:eastAsia="宋体"/>
                <w:sz w:val="24"/>
                <w:szCs w:val="24"/>
                <w:lang w:val="en-US" w:eastAsia="zh-CN"/>
              </w:rPr>
              <w:t xml:space="preserve">--运行经济性、稳定性和可靠性； </w:t>
            </w:r>
          </w:p>
          <w:p>
            <w:pPr>
              <w:rPr>
                <w:rFonts w:hint="eastAsia" w:eastAsia="宋体"/>
                <w:sz w:val="24"/>
                <w:szCs w:val="24"/>
                <w:lang w:val="en-US" w:eastAsia="zh-CN"/>
              </w:rPr>
            </w:pPr>
            <w:r>
              <w:rPr>
                <w:rFonts w:hint="eastAsia" w:eastAsia="宋体"/>
                <w:sz w:val="24"/>
                <w:szCs w:val="24"/>
                <w:lang w:val="en-US" w:eastAsia="zh-CN"/>
              </w:rPr>
              <w:t xml:space="preserve">--供应商自身的资质、信誉、技术实力、经验； </w:t>
            </w:r>
          </w:p>
          <w:p>
            <w:pPr>
              <w:rPr>
                <w:rFonts w:hint="eastAsia" w:eastAsia="宋体"/>
                <w:sz w:val="24"/>
                <w:szCs w:val="24"/>
                <w:lang w:val="en-US" w:eastAsia="zh-CN"/>
              </w:rPr>
            </w:pPr>
            <w:r>
              <w:rPr>
                <w:rFonts w:hint="eastAsia" w:eastAsia="宋体"/>
                <w:sz w:val="24"/>
                <w:szCs w:val="24"/>
                <w:lang w:val="en-US" w:eastAsia="zh-CN"/>
              </w:rPr>
              <w:t xml:space="preserve">--售后服务和技术支持能力； </w:t>
            </w:r>
          </w:p>
          <w:p>
            <w:pPr>
              <w:rPr>
                <w:rFonts w:hint="eastAsia" w:eastAsia="宋体"/>
                <w:sz w:val="24"/>
                <w:szCs w:val="24"/>
                <w:lang w:val="en-US" w:eastAsia="zh-CN"/>
              </w:rPr>
            </w:pPr>
            <w:r>
              <w:rPr>
                <w:rFonts w:hint="eastAsia" w:eastAsia="宋体"/>
                <w:sz w:val="24"/>
                <w:szCs w:val="24"/>
                <w:lang w:val="en-US" w:eastAsia="zh-CN"/>
              </w:rPr>
              <w:t>--预期使用寿命内对能源使用、能源消耗和能源效率的影响；</w:t>
            </w:r>
          </w:p>
          <w:p>
            <w:pPr>
              <w:rPr>
                <w:rFonts w:hint="eastAsia" w:eastAsia="宋体"/>
                <w:sz w:val="24"/>
                <w:szCs w:val="24"/>
                <w:lang w:val="en-US" w:eastAsia="zh-CN"/>
              </w:rPr>
            </w:pPr>
            <w:r>
              <w:rPr>
                <w:rFonts w:hint="eastAsia" w:eastAsia="宋体"/>
                <w:sz w:val="24"/>
                <w:szCs w:val="24"/>
                <w:lang w:val="en-US" w:eastAsia="zh-CN"/>
              </w:rPr>
              <w:t>d）公司应禁止采购《淘汰落后生产能力、工艺和产品的目录》、《高耗能落后机电设备（产品）淘汰目录》和《产业结构指导目录》规定的淘汰产品和设备，对现有产品、设备进行更换时，应尽量采用高效的节能产品，或者采用国家鼓励的节能产品和设备。</w:t>
            </w:r>
          </w:p>
          <w:p>
            <w:pPr>
              <w:rPr>
                <w:rFonts w:hint="default" w:eastAsia="宋体"/>
                <w:sz w:val="24"/>
                <w:szCs w:val="24"/>
                <w:lang w:val="en-US" w:eastAsia="zh-CN"/>
              </w:rPr>
            </w:pPr>
            <w:r>
              <w:rPr>
                <w:rFonts w:hint="eastAsia" w:eastAsia="宋体"/>
                <w:sz w:val="24"/>
                <w:szCs w:val="24"/>
                <w:lang w:val="en-US" w:eastAsia="zh-CN"/>
              </w:rPr>
              <w:t>抽查水和电的合同。</w:t>
            </w:r>
          </w:p>
          <w:p>
            <w:pPr>
              <w:rPr>
                <w:rFonts w:hint="default" w:eastAsia="宋体"/>
                <w:sz w:val="24"/>
                <w:szCs w:val="24"/>
                <w:lang w:val="en-US" w:eastAsia="zh-CN"/>
              </w:rPr>
            </w:pPr>
            <w:r>
              <w:rPr>
                <w:rFonts w:hint="default" w:eastAsia="宋体"/>
                <w:sz w:val="24"/>
                <w:szCs w:val="24"/>
                <w:lang w:val="en-US" w:eastAsia="zh-CN"/>
              </w:rPr>
              <w:drawing>
                <wp:inline distT="0" distB="0" distL="114300" distR="114300">
                  <wp:extent cx="3884930" cy="5651500"/>
                  <wp:effectExtent l="0" t="0" r="1270" b="0"/>
                  <wp:docPr id="7" name="图片 7" descr="3cde3dafb8b20789e3c0ec9763cd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cde3dafb8b20789e3c0ec9763cde8f"/>
                          <pic:cNvPicPr>
                            <a:picLocks noChangeAspect="1"/>
                          </pic:cNvPicPr>
                        </pic:nvPicPr>
                        <pic:blipFill>
                          <a:blip r:embed="rId11"/>
                          <a:stretch>
                            <a:fillRect/>
                          </a:stretch>
                        </pic:blipFill>
                        <pic:spPr>
                          <a:xfrm>
                            <a:off x="0" y="0"/>
                            <a:ext cx="3884930" cy="5651500"/>
                          </a:xfrm>
                          <a:prstGeom prst="rect">
                            <a:avLst/>
                          </a:prstGeom>
                        </pic:spPr>
                      </pic:pic>
                    </a:graphicData>
                  </a:graphic>
                </wp:inline>
              </w:drawing>
            </w:r>
          </w:p>
          <w:p>
            <w:pPr>
              <w:rPr>
                <w:rFonts w:hint="default" w:eastAsia="宋体"/>
                <w:sz w:val="24"/>
                <w:szCs w:val="24"/>
                <w:lang w:val="en-US" w:eastAsia="zh-CN"/>
              </w:rPr>
            </w:pPr>
            <w:r>
              <w:rPr>
                <w:rFonts w:hint="eastAsia" w:eastAsia="宋体"/>
                <w:sz w:val="24"/>
                <w:szCs w:val="24"/>
                <w:lang w:val="en-US" w:eastAsia="zh-CN"/>
              </w:rPr>
              <w:t xml:space="preserve"> </w:t>
            </w:r>
            <w:r>
              <w:rPr>
                <w:rFonts w:hint="eastAsia" w:eastAsia="宋体"/>
                <w:sz w:val="24"/>
                <w:szCs w:val="24"/>
                <w:lang w:val="en-US" w:eastAsia="zh-CN"/>
              </w:rPr>
              <w:drawing>
                <wp:inline distT="0" distB="0" distL="114300" distR="114300">
                  <wp:extent cx="3966210" cy="5645785"/>
                  <wp:effectExtent l="0" t="0" r="8890" b="5715"/>
                  <wp:docPr id="8" name="图片 8" descr="cc40cf5070343e46504e8eaaf27d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40cf5070343e46504e8eaaf27d524"/>
                          <pic:cNvPicPr>
                            <a:picLocks noChangeAspect="1"/>
                          </pic:cNvPicPr>
                        </pic:nvPicPr>
                        <pic:blipFill>
                          <a:blip r:embed="rId12"/>
                          <a:stretch>
                            <a:fillRect/>
                          </a:stretch>
                        </pic:blipFill>
                        <pic:spPr>
                          <a:xfrm>
                            <a:off x="0" y="0"/>
                            <a:ext cx="3966210" cy="5645785"/>
                          </a:xfrm>
                          <a:prstGeom prst="rect">
                            <a:avLst/>
                          </a:prstGeom>
                        </pic:spPr>
                      </pic:pic>
                    </a:graphicData>
                  </a:graphic>
                </wp:inline>
              </w:drawing>
            </w:r>
            <w:r>
              <w:rPr>
                <w:rFonts w:hint="eastAsia" w:eastAsia="宋体"/>
                <w:sz w:val="24"/>
                <w:szCs w:val="24"/>
                <w:lang w:val="en-US" w:eastAsia="zh-CN"/>
              </w:rPr>
              <w:t xml:space="preserve"> </w:t>
            </w:r>
          </w:p>
          <w:p>
            <w:pPr>
              <w:rPr>
                <w:rFonts w:hint="eastAsia" w:eastAsia="宋体"/>
                <w:sz w:val="24"/>
                <w:szCs w:val="24"/>
                <w:lang w:val="en-US" w:eastAsia="zh-CN"/>
              </w:rPr>
            </w:pPr>
            <w:r>
              <w:rPr>
                <w:rFonts w:hint="eastAsia" w:eastAsia="宋体"/>
                <w:sz w:val="24"/>
                <w:szCs w:val="24"/>
                <w:lang w:val="en-US" w:eastAsia="zh-CN"/>
              </w:rPr>
              <w:drawing>
                <wp:inline distT="0" distB="0" distL="114300" distR="114300">
                  <wp:extent cx="3933825" cy="5648960"/>
                  <wp:effectExtent l="0" t="0" r="3175" b="2540"/>
                  <wp:docPr id="9" name="图片 9" descr="99566910fc612464c1a5af0f6a02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9566910fc612464c1a5af0f6a02a4b"/>
                          <pic:cNvPicPr>
                            <a:picLocks noChangeAspect="1"/>
                          </pic:cNvPicPr>
                        </pic:nvPicPr>
                        <pic:blipFill>
                          <a:blip r:embed="rId13"/>
                          <a:stretch>
                            <a:fillRect/>
                          </a:stretch>
                        </pic:blipFill>
                        <pic:spPr>
                          <a:xfrm>
                            <a:off x="0" y="0"/>
                            <a:ext cx="3933825" cy="5648960"/>
                          </a:xfrm>
                          <a:prstGeom prst="rect">
                            <a:avLst/>
                          </a:prstGeom>
                        </pic:spPr>
                      </pic:pic>
                    </a:graphicData>
                  </a:graphic>
                </wp:inline>
              </w:drawing>
            </w:r>
          </w:p>
          <w:p>
            <w:pPr>
              <w:pStyle w:val="2"/>
              <w:rPr>
                <w:rFonts w:hint="eastAsia" w:eastAsia="宋体"/>
                <w:sz w:val="24"/>
                <w:szCs w:val="24"/>
                <w:lang w:val="en-US" w:eastAsia="zh-CN"/>
              </w:rPr>
            </w:pPr>
            <w:r>
              <w:rPr>
                <w:rFonts w:hint="eastAsia" w:eastAsia="宋体"/>
                <w:sz w:val="24"/>
                <w:szCs w:val="24"/>
                <w:lang w:val="en-US" w:eastAsia="zh-CN"/>
              </w:rPr>
              <w:drawing>
                <wp:inline distT="0" distB="0" distL="114300" distR="114300">
                  <wp:extent cx="3600450" cy="5643245"/>
                  <wp:effectExtent l="0" t="0" r="6350" b="8255"/>
                  <wp:docPr id="10" name="图片 10" descr="89972848d1e2c6c56a9e4b6ff69f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972848d1e2c6c56a9e4b6ff69f7ea"/>
                          <pic:cNvPicPr>
                            <a:picLocks noChangeAspect="1"/>
                          </pic:cNvPicPr>
                        </pic:nvPicPr>
                        <pic:blipFill>
                          <a:blip r:embed="rId14"/>
                          <a:stretch>
                            <a:fillRect/>
                          </a:stretch>
                        </pic:blipFill>
                        <pic:spPr>
                          <a:xfrm>
                            <a:off x="0" y="0"/>
                            <a:ext cx="3600450" cy="5643245"/>
                          </a:xfrm>
                          <a:prstGeom prst="rect">
                            <a:avLst/>
                          </a:prstGeom>
                        </pic:spPr>
                      </pic:pic>
                    </a:graphicData>
                  </a:graphic>
                </wp:inline>
              </w:drawing>
            </w:r>
          </w:p>
          <w:p>
            <w:pPr>
              <w:pStyle w:val="2"/>
              <w:rPr>
                <w:rFonts w:hint="eastAsia" w:eastAsia="宋体"/>
                <w:sz w:val="24"/>
                <w:szCs w:val="24"/>
                <w:lang w:val="en-US" w:eastAsia="zh-CN"/>
              </w:rPr>
            </w:pPr>
            <w:r>
              <w:rPr>
                <w:rFonts w:hint="eastAsia" w:eastAsia="宋体"/>
                <w:sz w:val="24"/>
                <w:szCs w:val="24"/>
                <w:lang w:val="en-US" w:eastAsia="zh-CN"/>
              </w:rPr>
              <w:drawing>
                <wp:inline distT="0" distB="0" distL="114300" distR="114300">
                  <wp:extent cx="3625215" cy="5652770"/>
                  <wp:effectExtent l="0" t="0" r="6985" b="11430"/>
                  <wp:docPr id="11" name="图片 11" descr="b07657813bdd3fb41ebb64ca13ee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07657813bdd3fb41ebb64ca13ee8ee"/>
                          <pic:cNvPicPr>
                            <a:picLocks noChangeAspect="1"/>
                          </pic:cNvPicPr>
                        </pic:nvPicPr>
                        <pic:blipFill>
                          <a:blip r:embed="rId15"/>
                          <a:stretch>
                            <a:fillRect/>
                          </a:stretch>
                        </pic:blipFill>
                        <pic:spPr>
                          <a:xfrm>
                            <a:off x="0" y="0"/>
                            <a:ext cx="3625215" cy="5652770"/>
                          </a:xfrm>
                          <a:prstGeom prst="rect">
                            <a:avLst/>
                          </a:prstGeom>
                        </pic:spPr>
                      </pic:pic>
                    </a:graphicData>
                  </a:graphic>
                </wp:inline>
              </w:drawing>
            </w:r>
          </w:p>
          <w:p>
            <w:pPr>
              <w:pStyle w:val="2"/>
              <w:rPr>
                <w:rFonts w:hint="eastAsia" w:eastAsia="宋体"/>
                <w:sz w:val="24"/>
                <w:szCs w:val="24"/>
                <w:lang w:val="en-US" w:eastAsia="zh-CN"/>
              </w:rPr>
            </w:pPr>
            <w:r>
              <w:rPr>
                <w:rFonts w:hint="eastAsia" w:eastAsia="宋体"/>
                <w:sz w:val="24"/>
                <w:szCs w:val="24"/>
                <w:lang w:val="en-US" w:eastAsia="zh-CN"/>
              </w:rPr>
              <w:drawing>
                <wp:inline distT="0" distB="0" distL="114300" distR="114300">
                  <wp:extent cx="4243070" cy="5648325"/>
                  <wp:effectExtent l="0" t="0" r="11430" b="3175"/>
                  <wp:docPr id="12" name="图片 12" descr="e88f09095544ca16bb8287a17b10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88f09095544ca16bb8287a17b10e53"/>
                          <pic:cNvPicPr>
                            <a:picLocks noChangeAspect="1"/>
                          </pic:cNvPicPr>
                        </pic:nvPicPr>
                        <pic:blipFill>
                          <a:blip r:embed="rId16"/>
                          <a:stretch>
                            <a:fillRect/>
                          </a:stretch>
                        </pic:blipFill>
                        <pic:spPr>
                          <a:xfrm>
                            <a:off x="0" y="0"/>
                            <a:ext cx="4243070" cy="5648325"/>
                          </a:xfrm>
                          <a:prstGeom prst="rect">
                            <a:avLst/>
                          </a:prstGeom>
                        </pic:spPr>
                      </pic:pic>
                    </a:graphicData>
                  </a:graphic>
                </wp:inline>
              </w:drawing>
            </w:r>
          </w:p>
          <w:p>
            <w:pPr>
              <w:rPr>
                <w:rFonts w:hint="eastAsia" w:eastAsia="宋体"/>
                <w:sz w:val="24"/>
                <w:szCs w:val="24"/>
                <w:lang w:val="en-US" w:eastAsia="zh-CN"/>
              </w:rPr>
            </w:pPr>
            <w:r>
              <w:rPr>
                <w:rFonts w:hint="eastAsia" w:eastAsia="宋体"/>
                <w:sz w:val="24"/>
                <w:szCs w:val="24"/>
                <w:lang w:val="en-US" w:eastAsia="zh-CN"/>
              </w:rPr>
              <w:t xml:space="preserve">公司近几年没有采购设备的的合同。  </w:t>
            </w:r>
          </w:p>
          <w:p>
            <w:pPr>
              <w:rPr>
                <w:rFonts w:hint="default" w:eastAsia="宋体"/>
                <w:sz w:val="24"/>
                <w:szCs w:val="24"/>
                <w:lang w:val="en-US" w:eastAsia="zh-CN"/>
              </w:rPr>
            </w:pPr>
            <w:r>
              <w:rPr>
                <w:rFonts w:hint="eastAsia" w:eastAsia="宋体"/>
                <w:sz w:val="24"/>
                <w:szCs w:val="24"/>
                <w:lang w:val="en-US" w:eastAsia="zh-CN"/>
              </w:rPr>
              <w:t>5、</w:t>
            </w:r>
            <w:r>
              <w:rPr>
                <w:rFonts w:hint="default" w:eastAsia="宋体"/>
                <w:sz w:val="24"/>
                <w:szCs w:val="24"/>
                <w:lang w:val="en-US" w:eastAsia="zh-CN"/>
              </w:rPr>
              <w:t>本部门要求员工照明灯不用时及时将电源关闭， 电脑不使用时及时将电源关闭，电脑设置休眠功能， 夏天空调设置26度以上。</w:t>
            </w:r>
          </w:p>
          <w:p>
            <w:pPr>
              <w:rPr>
                <w:rFonts w:hint="default" w:eastAsia="宋体"/>
                <w:sz w:val="24"/>
                <w:szCs w:val="24"/>
                <w:lang w:val="en-US" w:eastAsia="zh-CN"/>
              </w:rPr>
            </w:pPr>
            <w:r>
              <w:rPr>
                <w:rFonts w:hint="eastAsia" w:eastAsia="宋体"/>
                <w:sz w:val="24"/>
                <w:szCs w:val="24"/>
                <w:lang w:val="en-US" w:eastAsia="zh-CN"/>
              </w:rPr>
              <w:t>6、</w:t>
            </w:r>
            <w:r>
              <w:rPr>
                <w:rFonts w:hint="default" w:eastAsia="宋体"/>
                <w:sz w:val="24"/>
                <w:szCs w:val="24"/>
                <w:lang w:val="en-US" w:eastAsia="zh-CN"/>
              </w:rPr>
              <w:t>办公区张贴节约用电和节约用水的宣传标识。能够做到人走灯息、空调在26度以上。</w:t>
            </w:r>
          </w:p>
          <w:p>
            <w:pPr>
              <w:rPr>
                <w:rFonts w:hint="default" w:eastAsia="宋体"/>
                <w:sz w:val="24"/>
                <w:szCs w:val="24"/>
                <w:lang w:val="en-US" w:eastAsia="zh-CN"/>
              </w:rPr>
            </w:pPr>
            <w:r>
              <w:rPr>
                <w:rFonts w:hint="eastAsia" w:eastAsia="宋体"/>
                <w:sz w:val="24"/>
                <w:szCs w:val="24"/>
                <w:lang w:val="en-US" w:eastAsia="zh-CN"/>
              </w:rPr>
              <w:t>7、</w:t>
            </w:r>
            <w:r>
              <w:rPr>
                <w:rFonts w:hint="default" w:eastAsia="宋体"/>
                <w:sz w:val="24"/>
                <w:szCs w:val="24"/>
                <w:lang w:val="en-US" w:eastAsia="zh-CN"/>
              </w:rPr>
              <w:t>本部门按季对目标指标完成情况进行检查考核，经查本部门2021年度和2022年</w:t>
            </w:r>
            <w:r>
              <w:rPr>
                <w:rFonts w:hint="eastAsia" w:eastAsia="宋体"/>
                <w:sz w:val="24"/>
                <w:szCs w:val="24"/>
                <w:lang w:val="en-US" w:eastAsia="zh-CN"/>
              </w:rPr>
              <w:t>上半年</w:t>
            </w:r>
            <w:r>
              <w:rPr>
                <w:rFonts w:hint="default" w:eastAsia="宋体"/>
                <w:sz w:val="24"/>
                <w:szCs w:val="24"/>
                <w:lang w:val="en-US" w:eastAsia="zh-CN"/>
              </w:rPr>
              <w:t>能源各项目标指标全部完成。</w:t>
            </w:r>
          </w:p>
          <w:p>
            <w:pPr>
              <w:rPr>
                <w:rFonts w:hint="default" w:eastAsia="宋体"/>
                <w:sz w:val="24"/>
                <w:szCs w:val="24"/>
                <w:lang w:val="en-US" w:eastAsia="zh-CN"/>
              </w:rPr>
            </w:pPr>
            <w:r>
              <w:rPr>
                <w:rFonts w:hint="default" w:eastAsia="宋体"/>
                <w:sz w:val="24"/>
                <w:szCs w:val="24"/>
                <w:lang w:val="en-US" w:eastAsia="zh-CN"/>
              </w:rPr>
              <w:t>自公司能源体系运行以来，本部门未发生不符合。</w:t>
            </w:r>
          </w:p>
          <w:p>
            <w:pPr>
              <w:rPr>
                <w:rFonts w:hint="default" w:eastAsia="宋体"/>
                <w:sz w:val="24"/>
                <w:szCs w:val="24"/>
                <w:lang w:val="en-US" w:eastAsia="zh-CN"/>
              </w:rPr>
            </w:pPr>
            <w:r>
              <w:rPr>
                <w:rFonts w:hint="eastAsia" w:eastAsia="宋体"/>
                <w:sz w:val="24"/>
                <w:szCs w:val="24"/>
                <w:lang w:val="en-US" w:eastAsia="zh-CN"/>
              </w:rPr>
              <w:t>符合要求。</w:t>
            </w:r>
          </w:p>
        </w:tc>
        <w:tc>
          <w:tcPr>
            <w:tcW w:w="851" w:type="dxa"/>
          </w:tcPr>
          <w:p>
            <w:pPr>
              <w:rPr>
                <w:rFonts w:hint="eastAsia" w:eastAsia="宋体"/>
                <w:sz w:val="24"/>
                <w:szCs w:val="24"/>
                <w:lang w:val="en-US" w:eastAsia="zh-CN"/>
              </w:rPr>
            </w:pPr>
            <w:r>
              <w:rPr>
                <w:rFonts w:hint="eastAsia" w:eastAsia="宋体"/>
                <w:sz w:val="24"/>
                <w:szCs w:val="24"/>
                <w:lang w:val="en-US" w:eastAsia="zh-CN"/>
              </w:rPr>
              <w:t>Y</w:t>
            </w:r>
          </w:p>
        </w:tc>
      </w:tr>
    </w:tbl>
    <w:p>
      <w:pPr>
        <w:pStyle w:val="6"/>
        <w:rPr>
          <w:rFonts w:hint="eastAsia"/>
        </w:rPr>
      </w:pPr>
    </w:p>
    <w:p>
      <w:pPr>
        <w:pStyle w:val="6"/>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7"/>
      <w:pBdr>
        <w:bottom w:val="none" w:color="auto" w:sz="0" w:space="1"/>
      </w:pBdr>
      <w:spacing w:line="320" w:lineRule="exact"/>
      <w:ind w:firstLine="720" w:firstLineChars="400"/>
      <w:jc w:val="left"/>
    </w:pPr>
    <w:r>
      <w:pict>
        <v:shape id="文本框 1" o:spid="_x0000_s4097" o:spt="202" type="#_x0000_t202" style="position:absolute;left:0pt;margin-left:631.7pt;margin-top:2.2pt;height:20.2pt;width:95.05pt;z-index:251659264;mso-width-relative:page;mso-height-relative:page;" fillcolor="#FFFFFF" filled="t"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on="t" color2="#FFFFFF" focussize="0,0"/>
          <v:stroke on="f"/>
          <v:imagedata o:title=""/>
          <o:lock v:ext="edit" aspectratio="f"/>
          <v:textbox>
            <w:txbxContent>
              <w:p>
                <w:pPr>
                  <w:rPr>
                    <w:sz w:val="18"/>
                    <w:szCs w:val="18"/>
                  </w:rPr>
                </w:pPr>
                <w:r>
                  <w:rPr>
                    <w:rFonts w:hint="eastAsia"/>
                    <w:sz w:val="18"/>
                    <w:szCs w:val="18"/>
                  </w:rPr>
                  <w:t>ISC-B-II-12(05版）</w:t>
                </w:r>
              </w:p>
              <w:p/>
            </w:txbxContent>
          </v:textbox>
        </v:shape>
      </w:pict>
    </w:r>
    <w:r>
      <w:rPr>
        <w:rStyle w:val="17"/>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DB65E"/>
    <w:multiLevelType w:val="singleLevel"/>
    <w:tmpl w:val="9F7DB65E"/>
    <w:lvl w:ilvl="0" w:tentative="0">
      <w:start w:val="7"/>
      <w:numFmt w:val="chineseCounting"/>
      <w:suff w:val="nothing"/>
      <w:lvlText w:val="%1、"/>
      <w:lvlJc w:val="left"/>
      <w:rPr>
        <w:rFonts w:hint="eastAsia"/>
      </w:rPr>
    </w:lvl>
  </w:abstractNum>
  <w:abstractNum w:abstractNumId="1">
    <w:nsid w:val="B968D6C4"/>
    <w:multiLevelType w:val="singleLevel"/>
    <w:tmpl w:val="B968D6C4"/>
    <w:lvl w:ilvl="0" w:tentative="0">
      <w:start w:val="1"/>
      <w:numFmt w:val="chineseCounting"/>
      <w:suff w:val="nothing"/>
      <w:lvlText w:val="%1、"/>
      <w:lvlJc w:val="left"/>
      <w:rPr>
        <w:rFonts w:hint="eastAsia"/>
      </w:rPr>
    </w:lvl>
  </w:abstractNum>
  <w:abstractNum w:abstractNumId="2">
    <w:nsid w:val="DFA6FBE1"/>
    <w:multiLevelType w:val="singleLevel"/>
    <w:tmpl w:val="DFA6FBE1"/>
    <w:lvl w:ilvl="0" w:tentative="0">
      <w:start w:val="4"/>
      <w:numFmt w:val="chineseCounting"/>
      <w:suff w:val="nothing"/>
      <w:lvlText w:val="%1、"/>
      <w:lvlJc w:val="left"/>
      <w:rPr>
        <w:rFonts w:hint="eastAsia"/>
      </w:rPr>
    </w:lvl>
  </w:abstractNum>
  <w:abstractNum w:abstractNumId="3">
    <w:nsid w:val="32A66F4D"/>
    <w:multiLevelType w:val="singleLevel"/>
    <w:tmpl w:val="32A66F4D"/>
    <w:lvl w:ilvl="0" w:tentative="0">
      <w:start w:val="8"/>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50D2726"/>
    <w:rsid w:val="08422B0C"/>
    <w:rsid w:val="09716CC2"/>
    <w:rsid w:val="0AA50227"/>
    <w:rsid w:val="0AFD3115"/>
    <w:rsid w:val="0B690F53"/>
    <w:rsid w:val="0BCC31C6"/>
    <w:rsid w:val="0DF2727B"/>
    <w:rsid w:val="0DFD1924"/>
    <w:rsid w:val="106C6179"/>
    <w:rsid w:val="108219C2"/>
    <w:rsid w:val="13B33BC9"/>
    <w:rsid w:val="15787726"/>
    <w:rsid w:val="16861582"/>
    <w:rsid w:val="16B65069"/>
    <w:rsid w:val="16CA76D4"/>
    <w:rsid w:val="16D974B1"/>
    <w:rsid w:val="18572570"/>
    <w:rsid w:val="19550BDB"/>
    <w:rsid w:val="1ADD2EA8"/>
    <w:rsid w:val="1AEE063A"/>
    <w:rsid w:val="1B46487E"/>
    <w:rsid w:val="1B881819"/>
    <w:rsid w:val="1C944F44"/>
    <w:rsid w:val="212345D6"/>
    <w:rsid w:val="22F43389"/>
    <w:rsid w:val="23C01079"/>
    <w:rsid w:val="23ED5FE4"/>
    <w:rsid w:val="244F7F39"/>
    <w:rsid w:val="24B017FF"/>
    <w:rsid w:val="25C6426F"/>
    <w:rsid w:val="25D43F74"/>
    <w:rsid w:val="25F6279D"/>
    <w:rsid w:val="260E6499"/>
    <w:rsid w:val="29E318C1"/>
    <w:rsid w:val="2BE71DC5"/>
    <w:rsid w:val="2C2D20AB"/>
    <w:rsid w:val="2F912599"/>
    <w:rsid w:val="318604A8"/>
    <w:rsid w:val="32334EAE"/>
    <w:rsid w:val="347A765D"/>
    <w:rsid w:val="34E328F7"/>
    <w:rsid w:val="36742059"/>
    <w:rsid w:val="38D302A1"/>
    <w:rsid w:val="3B275AFC"/>
    <w:rsid w:val="3B2F152F"/>
    <w:rsid w:val="3BA1699B"/>
    <w:rsid w:val="3D507775"/>
    <w:rsid w:val="3E4E3E48"/>
    <w:rsid w:val="3E4F4E3C"/>
    <w:rsid w:val="3EC252BA"/>
    <w:rsid w:val="3FC90D4F"/>
    <w:rsid w:val="40CE4D07"/>
    <w:rsid w:val="40E73C0B"/>
    <w:rsid w:val="418C6EA0"/>
    <w:rsid w:val="430458CB"/>
    <w:rsid w:val="43C45188"/>
    <w:rsid w:val="44156DFC"/>
    <w:rsid w:val="450827B4"/>
    <w:rsid w:val="456613DE"/>
    <w:rsid w:val="458518D1"/>
    <w:rsid w:val="470528B1"/>
    <w:rsid w:val="483A3F04"/>
    <w:rsid w:val="4AB51850"/>
    <w:rsid w:val="4B1D16C3"/>
    <w:rsid w:val="4BC14352"/>
    <w:rsid w:val="4E194E12"/>
    <w:rsid w:val="4E377A31"/>
    <w:rsid w:val="4FFD1A67"/>
    <w:rsid w:val="506B2CA1"/>
    <w:rsid w:val="508939BE"/>
    <w:rsid w:val="568C3F73"/>
    <w:rsid w:val="56F0460D"/>
    <w:rsid w:val="5A1D6551"/>
    <w:rsid w:val="5BA21581"/>
    <w:rsid w:val="5BFD0207"/>
    <w:rsid w:val="5CAB44D2"/>
    <w:rsid w:val="5E292A40"/>
    <w:rsid w:val="5EA12B9A"/>
    <w:rsid w:val="5EC27919"/>
    <w:rsid w:val="5F5C13F0"/>
    <w:rsid w:val="60D8693C"/>
    <w:rsid w:val="62F24F2F"/>
    <w:rsid w:val="64044DA8"/>
    <w:rsid w:val="650A78D6"/>
    <w:rsid w:val="66823688"/>
    <w:rsid w:val="6C1279E0"/>
    <w:rsid w:val="6CAA131E"/>
    <w:rsid w:val="6F765216"/>
    <w:rsid w:val="70FE0D10"/>
    <w:rsid w:val="7147513F"/>
    <w:rsid w:val="7257141B"/>
    <w:rsid w:val="746569AB"/>
    <w:rsid w:val="753266BC"/>
    <w:rsid w:val="75876A71"/>
    <w:rsid w:val="75F665BA"/>
    <w:rsid w:val="76AF40A0"/>
    <w:rsid w:val="778D1E8E"/>
    <w:rsid w:val="78E67034"/>
    <w:rsid w:val="79807E6E"/>
    <w:rsid w:val="7A8C3E62"/>
    <w:rsid w:val="7ADD4DAA"/>
    <w:rsid w:val="7BF16553"/>
    <w:rsid w:val="7DB0259E"/>
    <w:rsid w:val="7E155CD3"/>
    <w:rsid w:val="7E9F13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Style1"/>
    <w:qFormat/>
    <w:uiPriority w:val="0"/>
    <w:pPr>
      <w:spacing w:after="120"/>
      <w:jc w:val="both"/>
    </w:pPr>
    <w:rPr>
      <w:rFonts w:ascii="Times New Roman" w:hAnsi="Times New Roman" w:eastAsia="Times New Roman" w:cs="Times New Roman"/>
      <w:color w:val="000000"/>
      <w:spacing w:val="-3"/>
      <w:sz w:val="24"/>
      <w:szCs w:val="24"/>
      <w:lang w:val="en-US" w:eastAsia="zh-CN" w:bidi="ar-SA"/>
    </w:rPr>
  </w:style>
  <w:style w:type="paragraph" w:styleId="3">
    <w:name w:val="Body Text"/>
    <w:basedOn w:val="1"/>
    <w:qFormat/>
    <w:uiPriority w:val="0"/>
    <w:rPr>
      <w:rFonts w:eastAsia="华文细黑"/>
      <w:sz w:val="24"/>
    </w:rPr>
  </w:style>
  <w:style w:type="paragraph" w:styleId="4">
    <w:name w:val="Body Text Indent"/>
    <w:basedOn w:val="1"/>
    <w:qFormat/>
    <w:uiPriority w:val="0"/>
    <w:pPr>
      <w:snapToGrid w:val="0"/>
      <w:spacing w:line="336" w:lineRule="auto"/>
      <w:ind w:firstLine="630"/>
    </w:pPr>
    <w:rPr>
      <w:sz w:val="32"/>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able of figures"/>
    <w:basedOn w:val="1"/>
    <w:next w:val="1"/>
    <w:qFormat/>
    <w:uiPriority w:val="0"/>
    <w:pPr>
      <w:ind w:left="200" w:leftChars="200" w:hanging="200" w:hangingChars="200"/>
    </w:pPr>
  </w:style>
  <w:style w:type="paragraph" w:styleId="9">
    <w:name w:val="Body Text First Indent"/>
    <w:basedOn w:val="3"/>
    <w:unhideWhenUsed/>
    <w:qFormat/>
    <w:uiPriority w:val="99"/>
    <w:pPr>
      <w:ind w:firstLine="420" w:firstLineChars="100"/>
    </w:p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格文字"/>
    <w:basedOn w:val="1"/>
    <w:qFormat/>
    <w:uiPriority w:val="0"/>
    <w:pPr>
      <w:spacing w:before="25" w:after="25"/>
    </w:pPr>
    <w:rPr>
      <w:bCs/>
      <w:spacing w:val="10"/>
    </w:rPr>
  </w:style>
  <w:style w:type="character" w:customStyle="1" w:styleId="14">
    <w:name w:val="页眉 字符"/>
    <w:basedOn w:val="12"/>
    <w:link w:val="7"/>
    <w:qFormat/>
    <w:uiPriority w:val="99"/>
    <w:rPr>
      <w:rFonts w:ascii="Times New Roman" w:hAnsi="Times New Roman" w:eastAsia="宋体" w:cs="Times New Roman"/>
      <w:sz w:val="18"/>
      <w:szCs w:val="18"/>
    </w:rPr>
  </w:style>
  <w:style w:type="character" w:customStyle="1" w:styleId="15">
    <w:name w:val="页脚 字符"/>
    <w:basedOn w:val="12"/>
    <w:link w:val="6"/>
    <w:qFormat/>
    <w:uiPriority w:val="99"/>
    <w:rPr>
      <w:rFonts w:ascii="Times New Roman" w:hAnsi="Times New Roman" w:eastAsia="宋体" w:cs="Times New Roman"/>
      <w:sz w:val="18"/>
      <w:szCs w:val="18"/>
    </w:rPr>
  </w:style>
  <w:style w:type="character" w:customStyle="1" w:styleId="16">
    <w:name w:val="批注框文本 字符"/>
    <w:basedOn w:val="12"/>
    <w:link w:val="5"/>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chart" Target="charts/chart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3457;&#26680;&#36164;&#26009;\&#33021;&#28304;\&#22269;&#26631;&#32852;&#21512;\2022\&#32461;&#20852;&#19977;&#38596;&#38050;&#32467;&#26500;&#26377;&#38480;&#20844;&#21496;\2020-2022&#24635;&#20135;&#20540;&#21450;&#20135;&#21697;&#24635;&#37327;&#65288;&#19977;&#3859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单位产品能耗趋势图</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'[2020-2022总产值及产品总量（三雄).xlsx]2020-2022'!$E$3:$E$5</c:f>
              <c:strCache>
                <c:ptCount val="3"/>
                <c:pt idx="0">
                  <c:v>2020年</c:v>
                </c:pt>
                <c:pt idx="1">
                  <c:v>2021年</c:v>
                </c:pt>
                <c:pt idx="2">
                  <c:v>2022年1-6月</c:v>
                </c:pt>
              </c:strCache>
            </c:strRef>
          </c:cat>
          <c:val>
            <c:numRef>
              <c:f>'[2020-2022总产值及产品总量（三雄).xlsx]2020-2022'!$F$3:$F$5</c:f>
              <c:numCache>
                <c:formatCode>General</c:formatCode>
                <c:ptCount val="3"/>
                <c:pt idx="0">
                  <c:v>8.496</c:v>
                </c:pt>
                <c:pt idx="1">
                  <c:v>8.692</c:v>
                </c:pt>
                <c:pt idx="2">
                  <c:v>9.8</c:v>
                </c:pt>
              </c:numCache>
            </c:numRef>
          </c:val>
          <c:smooth val="0"/>
        </c:ser>
        <c:dLbls>
          <c:showLegendKey val="0"/>
          <c:showVal val="1"/>
          <c:showCatName val="0"/>
          <c:showSerName val="0"/>
          <c:showPercent val="0"/>
          <c:showBubbleSize val="0"/>
        </c:dLbls>
        <c:marker val="0"/>
        <c:smooth val="0"/>
        <c:axId val="321274366"/>
        <c:axId val="660161363"/>
      </c:lineChart>
      <c:catAx>
        <c:axId val="321274366"/>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年份</a:t>
                </a:r>
              </a:p>
            </c:rich>
          </c:tx>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161363"/>
        <c:crosses val="autoZero"/>
        <c:auto val="1"/>
        <c:lblAlgn val="ctr"/>
        <c:lblOffset val="100"/>
        <c:noMultiLvlLbl val="0"/>
      </c:catAx>
      <c:valAx>
        <c:axId val="6601613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单位产品能耗题</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127436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44</TotalTime>
  <ScaleCrop>false</ScaleCrop>
  <LinksUpToDate>false</LinksUpToDate>
  <CharactersWithSpaces>147</CharactersWithSpaces>
  <Application>WPS Office_11.1.0.11435_F1E327BC-269C-435d-A152-05C5408002CA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开门大吉～ISO认证服务</cp:lastModifiedBy>
  <dcterms:modified xsi:type="dcterms:W3CDTF">2022-07-21T04:10:46Z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2052-11.1.0.11435</vt:lpwstr>
  </property>
  <property fmtid="{D5CDD505-2E9C-101B-9397-08002B2CF9AE}" pid="3" name="ICV">
    <vt:lpwstr>DE328A8AF59341648C9821279B779E99</vt:lpwstr>
  </property>
</Properties>
</file>