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赛亚泽索具保定有限公司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13315246783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ws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@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slings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王顺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  <w:r>
              <w:rPr>
                <w:color w:val="000000"/>
                <w:sz w:val="21"/>
                <w:szCs w:val="21"/>
              </w:rPr>
              <w:t>0312-8978008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钢丝绳缆、带，吊装带，吊索具，索具设备(资质范围内除外)的生产；建材(铝板)、纺织品的销售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17.12.03;18.02.02;29.12.00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de-DE"/>
              </w:rPr>
              <w:t>受审核方管理体系文件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de-DE"/>
              </w:rPr>
              <w:t>适用的法律法规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2019年12月26日 上午至2019年12月26日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17.12.03,18.02.02,29.12.00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45"/>
        <w:gridCol w:w="637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2019.12.26</w:t>
            </w: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7" w:type="dxa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37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体系文件与体系标准、产品质量标准、法律法规要求的符合性、法律法规的收集与有效性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637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生产技术部/供销部：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  <w:bookmarkStart w:id="14" w:name="_GoBack"/>
            <w:bookmarkEnd w:id="14"/>
          </w:p>
        </w:tc>
        <w:tc>
          <w:tcPr>
            <w:tcW w:w="63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D978CB"/>
    <w:rsid w:val="3F157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2019-12-27T03:14:26Z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