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江西添瑞高分子新材料有限公司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0314-2021-QE-2022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江西省宜春市樟树市洲上乡工业园88号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黄瑞林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江西省宜春市樟树市张家山工业园区园区中路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胡藏粮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17821909159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17821909159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Q：高分子新材料（黑色母粒）的生产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E：高分子新材料（黑色母粒）的生产所涉及场所的相关环境管理活动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Q：12.01.06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E：12.01.06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tbl>
            <w:tblPr>
              <w:tblStyle w:val="7"/>
              <w:tblW w:w="858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7"/>
              <w:gridCol w:w="74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7" w:hRule="atLeast"/>
                <w:jc w:val="center"/>
              </w:trPr>
              <w:tc>
                <w:tcPr>
                  <w:tcW w:w="1137" w:type="dxa"/>
                </w:tcPr>
                <w:p>
                  <w:pPr>
                    <w:spacing w:line="300" w:lineRule="exact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管理层</w:t>
                  </w:r>
                </w:p>
              </w:tc>
              <w:tc>
                <w:tcPr>
                  <w:tcW w:w="7451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64" w:lineRule="auto"/>
                    <w:ind w:right="105" w:rightChars="50"/>
                    <w:jc w:val="left"/>
                    <w:textAlignment w:val="auto"/>
                    <w:rPr>
                      <w:rFonts w:hint="default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A在B指导下审核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64" w:lineRule="auto"/>
                    <w:ind w:right="105" w:rightChars="50"/>
                    <w:jc w:val="left"/>
                    <w:textAlignment w:val="auto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暂停转回复确认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64" w:lineRule="auto"/>
                    <w:ind w:right="105" w:rightChars="50"/>
                    <w:jc w:val="left"/>
                    <w:textAlignment w:val="auto"/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  <w:t>QE:4.1理解组织及其环境、4.2理解相关方的需求和期望、4.3确定管理体系的范围、4.4质量/环境管理体系及其过程、5.1领导作用、5.2质量/环境/职业健康方针、5.3组织的岗位、职责和权限、6.1应对风险和机遇的措施、6.2质量/环境/职业健康安全目标及其实现的策划、7.1.1（EO7.1）资源总则、7.4沟通/信息交流、9.3管理评审、10持续改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64" w:lineRule="auto"/>
                    <w:ind w:right="105" w:rightChars="50"/>
                    <w:jc w:val="left"/>
                    <w:textAlignment w:val="auto"/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  <w:t>Q6.3变更的策划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64" w:lineRule="auto"/>
                    <w:ind w:right="105" w:rightChars="50"/>
                    <w:jc w:val="left"/>
                    <w:textAlignment w:val="auto"/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  <w:t>Q8.3删减合理性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64" w:lineRule="auto"/>
                    <w:ind w:right="105" w:rightChars="50"/>
                    <w:jc w:val="left"/>
                    <w:textAlignment w:val="auto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  <w:t>标准/规范/法规的执行情况、一阶段审核不符合项的验证、认证证书、标志的使用情况、投诉或事故、监督抽查情况、体系变动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7" w:hRule="atLeast"/>
                <w:jc w:val="center"/>
              </w:trPr>
              <w:tc>
                <w:tcPr>
                  <w:tcW w:w="1137" w:type="dxa"/>
                  <w:vAlign w:val="top"/>
                </w:tcPr>
                <w:p>
                  <w:pPr>
                    <w:spacing w:line="300" w:lineRule="exact"/>
                    <w:rPr>
                      <w:rFonts w:hint="default" w:ascii="宋体" w:hAnsi="宋体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生产部</w:t>
                  </w:r>
                </w:p>
              </w:tc>
              <w:tc>
                <w:tcPr>
                  <w:tcW w:w="7451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64" w:lineRule="auto"/>
                    <w:ind w:right="105" w:rightChars="50"/>
                    <w:jc w:val="left"/>
                    <w:textAlignment w:val="auto"/>
                    <w:rPr>
                      <w:rFonts w:hint="default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A在B指导下审核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64" w:lineRule="auto"/>
                    <w:ind w:right="105" w:rightChars="50"/>
                    <w:jc w:val="left"/>
                    <w:textAlignment w:val="auto"/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  <w:t>Q:5.3组织的岗位、职责和权限、6.2质量目标、7.1.3基础设施、7.1.4运行环境、7.1.5监视和测量资源、8.1运行策划和控制、8.5.1生产和服务提供的控制、8.5.2产品标识和可追朔性、8.5.4产品防护、8.5.6更改控制、8.6放行、8.7不合格品控制、9.1.1监视、测量、分析和评价、10.2不合格和纠正措施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64" w:lineRule="auto"/>
                    <w:ind w:right="105" w:rightChars="50"/>
                    <w:jc w:val="left"/>
                    <w:textAlignment w:val="auto"/>
                    <w:rPr>
                      <w:rFonts w:hint="eastAsia" w:ascii="宋体" w:hAnsi="宋体" w:eastAsia="宋体" w:cs="Arial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  <w:t>E/O:5.3组织的岗位、职责和权限、6.2环境/职业健康安全目标、6.1.2环境因素的识别与评价、6.1.4措施的策划、6.1.3合规义务、9.1.2合规性评价、8.1运行策划和控制、8.2应急准备和响应、9.1.1监视、测量、分析和评价、10.2不符合、事件和纠正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7" w:hRule="atLeast"/>
                <w:jc w:val="center"/>
              </w:trPr>
              <w:tc>
                <w:tcPr>
                  <w:tcW w:w="1137" w:type="dxa"/>
                  <w:vAlign w:val="top"/>
                </w:tcPr>
                <w:p>
                  <w:pPr>
                    <w:spacing w:line="300" w:lineRule="exact"/>
                    <w:rPr>
                      <w:rFonts w:hint="default" w:ascii="宋体" w:hAnsi="宋体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  <w:lang w:val="en-US" w:eastAsia="zh-CN"/>
                    </w:rPr>
                    <w:t>综合管理部</w:t>
                  </w:r>
                </w:p>
              </w:tc>
              <w:tc>
                <w:tcPr>
                  <w:tcW w:w="7451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64" w:lineRule="auto"/>
                    <w:ind w:right="105" w:rightChars="50"/>
                    <w:jc w:val="left"/>
                    <w:textAlignment w:val="auto"/>
                    <w:rPr>
                      <w:rFonts w:hint="default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val="en-US" w:eastAsia="zh-CN"/>
                    </w:rPr>
                    <w:t>A在B指导下审核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64" w:lineRule="auto"/>
                    <w:ind w:right="105" w:rightChars="50"/>
                    <w:jc w:val="left"/>
                    <w:textAlignment w:val="auto"/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  <w:t>Q:5.3组织的岗位、职责和权限、6.2质量目标及控制的策划、7.1.2人员、7.2能力、7.3意识、7.5成文信息、7.1.6组织知识、8.2顾客要求、8.4外部提供过程/产品和服务的控制、8.5.3顾客财产、8.5.5交付后活动、9.1.2顾客满意</w:t>
                  </w: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  <w:t>9.1.1监视、测量、分析和评价总则、9.1.3分析与评价、9.2内部审核、10.2不符合/事件和纠正措施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64" w:lineRule="auto"/>
                    <w:ind w:right="105" w:rightChars="50"/>
                    <w:jc w:val="left"/>
                    <w:textAlignment w:val="auto"/>
                    <w:rPr>
                      <w:rFonts w:hint="eastAsia" w:ascii="宋体" w:hAnsi="宋体" w:eastAsia="宋体" w:cs="Arial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  <w:t>E:5.3组织的岗位、职责和权限、6.1.2环境因素的识别与评价、6.1.4措施的策划、6.2环境目标及控制的策划、7.1资源、7.2能力、7.3意识、7.5成文信息、8.1运行策划和控制、8.2应急准备和响应、9.1.1监视、测量、分析和评价、9.2 内部审核、10.2不符合、事件和纠正措施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/2022.8.16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1BDF0A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1729</Words>
  <Characters>1867</Characters>
  <Lines>16</Lines>
  <Paragraphs>4</Paragraphs>
  <TotalTime>2</TotalTime>
  <ScaleCrop>false</ScaleCrop>
  <LinksUpToDate>false</LinksUpToDate>
  <CharactersWithSpaces>2374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2022-08-14T06:47:18Z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