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-288925</wp:posOffset>
            </wp:positionH>
            <wp:positionV relativeFrom="paragraph">
              <wp:posOffset>-675640</wp:posOffset>
            </wp:positionV>
            <wp:extent cx="7244080" cy="10245090"/>
            <wp:effectExtent l="0" t="0" r="7620" b="3810"/>
            <wp:wrapNone/>
            <wp:docPr id="1" name="图片 1" descr="西安家麒测量审核7.1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安家麒测量审核7.13-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4080" cy="1024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0091-2019-2022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742"/>
        <w:gridCol w:w="109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西安家麒工模具有限公司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三坐标测量机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A15028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Daisv8160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0.6＋0.6×10</w:t>
            </w:r>
            <w:r>
              <w:rPr>
                <w:rFonts w:hint="eastAsia" w:ascii="宋体" w:hAnsi="宋体" w:eastAsia="宋体" w:cs="宋体"/>
                <w:sz w:val="13"/>
                <w:szCs w:val="13"/>
                <w:lang w:val="en-US" w:eastAsia="zh-CN"/>
              </w:rPr>
              <w:t>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L)</w:t>
            </w:r>
            <w:r>
              <w:rPr>
                <w:rFonts w:hint="eastAsia"/>
                <w:sz w:val="18"/>
                <w:szCs w:val="18"/>
              </w:rPr>
              <w:t>μm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三等量块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中航发西安动力公司检验检测中心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301020643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)㎜/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0.01㎜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U=0.0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等量块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OA12N1480137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M5000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碳U=0.005%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硅U=0.005%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锰U=0.009%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直读光谱仪检定用标准物质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0061759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0060037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光栅式指示表检定仪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等量块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光面环规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/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67873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等量块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/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数显高度卡尺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6012530615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</w:t>
            </w:r>
            <w:r>
              <w:rPr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5等量块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/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1408059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3110593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光栅式指示表检定仪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等量块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光面环规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/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公司未建立最高标准器，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测量设备由技术质量部负责溯源。公司测量设备全部委托深圳天溯计量检测股份有限公司、中航发西安动力公司检验检测中心等机构检定/校准，校准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检定证书由技术质量部保存。根据抽查情况，该公司的校准情况符合溯源性要求。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BDB3E86"/>
    <w:rsid w:val="58AF634D"/>
    <w:rsid w:val="5B470B8B"/>
    <w:rsid w:val="79E23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594</Words>
  <Characters>855</Characters>
  <Lines>3</Lines>
  <Paragraphs>1</Paragraphs>
  <TotalTime>2</TotalTime>
  <ScaleCrop>false</ScaleCrop>
  <LinksUpToDate>false</LinksUpToDate>
  <CharactersWithSpaces>889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2022-07-13T07:44:57Z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14D52F3A91DC4B0486FD3B77CC594E4A</vt:lpwstr>
  </property>
</Properties>
</file>