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0882-2022-QEO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饶阳县路胜铁路信号器材有限公司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2022年07月18日 上午至2022年07月18日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450</w:t>
            </w:r>
            <w:r>
              <w:rPr>
                <w:rFonts w:hint="eastAsia" w:ascii="宋体" w:hAnsi="宋体"/>
                <w:b/>
                <w:color w:val="000000"/>
                <w:szCs w:val="21"/>
                <w:lang w:val="de-DE"/>
              </w:rPr>
              <w:t>01-20</w:t>
            </w:r>
            <w:r>
              <w:rPr>
                <w:rFonts w:hint="eastAsia" w:ascii="宋体" w:hAnsi="宋体"/>
                <w:b/>
                <w:color w:val="000000"/>
                <w:szCs w:val="21"/>
                <w:lang w:val="en-US" w:eastAsia="zh-CN"/>
              </w:rPr>
              <w:t>20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ascii="宋体"/>
                <w:b/>
                <w:color w:val="000000"/>
                <w:szCs w:val="21"/>
              </w:rPr>
              <w:t>审核地址</w:t>
            </w:r>
          </w:p>
        </w:tc>
        <w:tc>
          <w:tcPr>
            <w:tcW w:w="7431" w:type="dxa"/>
            <w:tcMar>
              <w:left w:w="113" w:type="dxa"/>
            </w:tcMar>
          </w:tcPr>
          <w:p>
            <w:pPr>
              <w:rPr>
                <w:rFonts w:ascii="宋体"/>
                <w:b/>
                <w:color w:val="0000FF"/>
                <w:szCs w:val="21"/>
              </w:rPr>
            </w:pPr>
            <w:r>
              <w:rPr>
                <w:rFonts w:hint="eastAsia" w:ascii="宋体"/>
                <w:b/>
                <w:color w:val="000000"/>
                <w:szCs w:val="21"/>
              </w:rPr>
              <w:t>饶阳县北官庄村村北工业区</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766"/>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766" w:type="dxa"/>
            <w:vAlign w:val="center"/>
          </w:tcPr>
          <w:p>
            <w:pPr>
              <w:spacing w:line="240" w:lineRule="exact"/>
              <w:jc w:val="center"/>
              <w:rPr>
                <w:b/>
                <w:color w:val="000000"/>
                <w:szCs w:val="21"/>
              </w:rPr>
            </w:pPr>
            <w:r>
              <w:rPr>
                <w:rFonts w:hint="eastAsia"/>
                <w:szCs w:val="21"/>
              </w:rPr>
              <w:t>审核员注册证书号</w:t>
            </w:r>
          </w:p>
        </w:tc>
        <w:tc>
          <w:tcPr>
            <w:tcW w:w="3332"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766"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3332" w:type="dxa"/>
            <w:vAlign w:val="center"/>
          </w:tcPr>
          <w:p>
            <w:pPr>
              <w:jc w:val="center"/>
              <w:rPr>
                <w:rFonts w:hint="eastAsia" w:eastAsia="宋体"/>
                <w:b w:val="0"/>
                <w:bCs w:val="0"/>
                <w:sz w:val="21"/>
                <w:szCs w:val="21"/>
                <w:lang w:eastAsia="zh-CN"/>
              </w:rPr>
            </w:pPr>
            <w:r>
              <w:rPr>
                <w:b w:val="0"/>
                <w:bCs w:val="0"/>
                <w:sz w:val="21"/>
                <w:szCs w:val="21"/>
              </w:rPr>
              <w:t>Q:</w:t>
            </w:r>
            <w:r>
              <w:rPr>
                <w:rFonts w:hint="eastAsia"/>
                <w:b w:val="0"/>
                <w:bCs w:val="0"/>
                <w:sz w:val="21"/>
                <w:szCs w:val="21"/>
                <w:lang w:eastAsia="zh-CN"/>
              </w:rPr>
              <w:t>14.02.04;19.11.02;29.10.07</w:t>
            </w:r>
          </w:p>
          <w:p>
            <w:pPr>
              <w:jc w:val="center"/>
              <w:rPr>
                <w:rFonts w:hint="eastAsia" w:eastAsia="宋体"/>
                <w:b w:val="0"/>
                <w:bCs w:val="0"/>
                <w:sz w:val="21"/>
                <w:szCs w:val="21"/>
                <w:lang w:eastAsia="zh-CN"/>
              </w:rPr>
            </w:pPr>
            <w:r>
              <w:rPr>
                <w:b w:val="0"/>
                <w:bCs w:val="0"/>
                <w:sz w:val="21"/>
                <w:szCs w:val="21"/>
              </w:rPr>
              <w:t>E:</w:t>
            </w:r>
            <w:r>
              <w:rPr>
                <w:rFonts w:hint="eastAsia"/>
                <w:b w:val="0"/>
                <w:bCs w:val="0"/>
                <w:sz w:val="21"/>
                <w:szCs w:val="21"/>
                <w:lang w:eastAsia="zh-CN"/>
              </w:rPr>
              <w:t>14.02.04;19.11.02;29.10.07</w:t>
            </w:r>
          </w:p>
          <w:p>
            <w:pPr>
              <w:spacing w:line="240" w:lineRule="exact"/>
              <w:jc w:val="center"/>
              <w:rPr>
                <w:szCs w:val="21"/>
              </w:rPr>
            </w:pPr>
            <w:r>
              <w:rPr>
                <w:b w:val="0"/>
                <w:bCs w:val="0"/>
                <w:sz w:val="21"/>
                <w:szCs w:val="21"/>
              </w:rPr>
              <w:t>O:</w:t>
            </w:r>
            <w:r>
              <w:rPr>
                <w:rFonts w:hint="eastAsia"/>
                <w:b w:val="0"/>
                <w:bCs w:val="0"/>
                <w:sz w:val="21"/>
                <w:szCs w:val="21"/>
                <w:lang w:eastAsia="zh-CN"/>
              </w:rPr>
              <w:t>14.02.04;19.11.02;29.10.07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766" w:type="dxa"/>
            <w:vAlign w:val="center"/>
          </w:tcPr>
          <w:p>
            <w:pPr>
              <w:spacing w:line="240" w:lineRule="exact"/>
              <w:jc w:val="center"/>
              <w:rPr>
                <w:b/>
                <w:color w:val="000000"/>
                <w:szCs w:val="21"/>
              </w:rPr>
            </w:pPr>
            <w:r>
              <w:rPr>
                <w:b/>
                <w:color w:val="000000"/>
                <w:szCs w:val="21"/>
              </w:rPr>
              <w:t>2020-N1QMS-1263722</w:t>
            </w:r>
          </w:p>
          <w:p>
            <w:pPr>
              <w:spacing w:line="240" w:lineRule="exact"/>
              <w:jc w:val="center"/>
              <w:rPr>
                <w:b/>
                <w:color w:val="000000"/>
                <w:szCs w:val="21"/>
              </w:rPr>
            </w:pPr>
            <w:r>
              <w:rPr>
                <w:b/>
                <w:color w:val="000000"/>
                <w:szCs w:val="21"/>
              </w:rPr>
              <w:t>2020-N1EMS-1263722</w:t>
            </w:r>
          </w:p>
        </w:tc>
        <w:tc>
          <w:tcPr>
            <w:tcW w:w="3332" w:type="dxa"/>
            <w:vAlign w:val="center"/>
          </w:tcPr>
          <w:p>
            <w:pPr>
              <w:jc w:val="center"/>
              <w:rPr>
                <w:b w:val="0"/>
                <w:bCs w:val="0"/>
                <w:sz w:val="21"/>
                <w:szCs w:val="21"/>
              </w:rPr>
            </w:pPr>
            <w:r>
              <w:rPr>
                <w:b w:val="0"/>
                <w:bCs w:val="0"/>
                <w:sz w:val="21"/>
                <w:szCs w:val="21"/>
              </w:rPr>
              <w:t>Q:14.02.04;19.11.02;29.10.07</w:t>
            </w:r>
          </w:p>
          <w:p>
            <w:pPr>
              <w:spacing w:line="240" w:lineRule="exact"/>
              <w:jc w:val="center"/>
              <w:rPr>
                <w:szCs w:val="21"/>
              </w:rPr>
            </w:pPr>
            <w:r>
              <w:rPr>
                <w:b w:val="0"/>
                <w:bCs w:val="0"/>
                <w:sz w:val="21"/>
                <w:szCs w:val="21"/>
              </w:rPr>
              <w:t>E:14.02.04;19.11.02;29.10.07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766"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3332" w:type="dxa"/>
            <w:vAlign w:val="center"/>
          </w:tcPr>
          <w:p>
            <w:pPr>
              <w:jc w:val="center"/>
              <w:rPr>
                <w:b w:val="0"/>
                <w:bCs w:val="0"/>
                <w:sz w:val="21"/>
                <w:szCs w:val="21"/>
              </w:rPr>
            </w:pPr>
            <w:r>
              <w:rPr>
                <w:b w:val="0"/>
                <w:bCs w:val="0"/>
                <w:sz w:val="21"/>
                <w:szCs w:val="21"/>
              </w:rPr>
              <w:t>Q:29.10.07</w:t>
            </w:r>
          </w:p>
          <w:p>
            <w:pPr>
              <w:jc w:val="center"/>
              <w:rPr>
                <w:b w:val="0"/>
                <w:bCs w:val="0"/>
                <w:sz w:val="21"/>
                <w:szCs w:val="21"/>
              </w:rPr>
            </w:pPr>
            <w:r>
              <w:rPr>
                <w:b w:val="0"/>
                <w:bCs w:val="0"/>
                <w:sz w:val="21"/>
                <w:szCs w:val="21"/>
              </w:rPr>
              <w:t>E:29.10.07</w:t>
            </w:r>
          </w:p>
          <w:p>
            <w:pPr>
              <w:spacing w:line="240" w:lineRule="exact"/>
              <w:jc w:val="center"/>
              <w:rPr>
                <w:szCs w:val="21"/>
              </w:rPr>
            </w:pPr>
            <w:r>
              <w:rPr>
                <w:b w:val="0"/>
                <w:bCs w:val="0"/>
                <w:sz w:val="21"/>
                <w:szCs w:val="21"/>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766" w:type="dxa"/>
            <w:vAlign w:val="center"/>
          </w:tcPr>
          <w:p>
            <w:pPr>
              <w:rPr>
                <w:b/>
                <w:color w:val="000000"/>
                <w:szCs w:val="21"/>
              </w:rPr>
            </w:pPr>
            <w:r>
              <w:rPr>
                <w:rFonts w:hint="eastAsia"/>
                <w:b/>
                <w:color w:val="000000"/>
                <w:szCs w:val="21"/>
              </w:rPr>
              <w:t>工作单位</w:t>
            </w:r>
          </w:p>
        </w:tc>
        <w:tc>
          <w:tcPr>
            <w:tcW w:w="3332"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766" w:type="dxa"/>
            <w:vAlign w:val="center"/>
          </w:tcPr>
          <w:p>
            <w:pPr>
              <w:rPr>
                <w:b/>
                <w:color w:val="000000"/>
                <w:szCs w:val="21"/>
              </w:rPr>
            </w:pPr>
          </w:p>
        </w:tc>
        <w:tc>
          <w:tcPr>
            <w:tcW w:w="3332"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饶阳县路胜铁路信号器材有限公司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饶阳县北官庄村村北工业区</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053900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饶阳县北官庄村村北工业区</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053900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孙红丹</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13131882777</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张集体</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孙红丹</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11" w:leftChars="0" w:hanging="11" w:hangingChars="5"/>
              <w:jc w:val="left"/>
              <w:rPr>
                <w:rFonts w:ascii="宋体" w:hAnsi="宋体"/>
                <w:b/>
                <w:color w:val="000000"/>
                <w:szCs w:val="21"/>
              </w:rPr>
            </w:pPr>
            <w:r>
              <w:rPr>
                <w:rFonts w:hint="eastAsia" w:ascii="宋体" w:hAnsi="宋体"/>
                <w:b/>
                <w:color w:val="000000"/>
                <w:szCs w:val="21"/>
              </w:rPr>
              <w:t>铁路专用连接线、电容防护盒、调谐设备基础防护装置、电缆槽的生产和补偿电容</w:t>
            </w:r>
            <w:r>
              <w:rPr>
                <w:rFonts w:hint="eastAsia" w:ascii="宋体" w:hAnsi="宋体"/>
                <w:b/>
                <w:color w:val="000000"/>
                <w:szCs w:val="21"/>
                <w:lang w:eastAsia="zh-CN"/>
              </w:rPr>
              <w:t>的</w:t>
            </w:r>
            <w:r>
              <w:rPr>
                <w:rFonts w:hint="eastAsia" w:ascii="宋体" w:hAnsi="宋体"/>
                <w:b/>
                <w:color w:val="000000"/>
                <w:szCs w:val="2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360"/>
              </w:tabs>
              <w:ind w:left="360" w:hanging="360"/>
              <w:rPr>
                <w:rFonts w:hint="eastAsia" w:ascii="宋体" w:hAnsi="宋体"/>
                <w:b/>
                <w:color w:val="000000"/>
                <w:szCs w:val="21"/>
              </w:rPr>
            </w:pPr>
            <w:r>
              <w:rPr>
                <w:rFonts w:hint="eastAsia" w:ascii="宋体" w:hAnsi="宋体"/>
                <w:b/>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11" w:leftChars="0" w:hanging="11" w:hangingChars="5"/>
              <w:jc w:val="left"/>
              <w:rPr>
                <w:rFonts w:hint="eastAsia" w:ascii="宋体" w:hAnsi="宋体" w:cs="Times New Roman"/>
                <w:b/>
                <w:color w:val="000000"/>
                <w:szCs w:val="21"/>
                <w:lang w:val="en-US" w:eastAsia="zh-CN"/>
              </w:rPr>
            </w:pPr>
            <w:r>
              <w:rPr>
                <w:rFonts w:hint="eastAsia" w:ascii="宋体" w:hAnsi="宋体" w:eastAsia="宋体" w:cs="Times New Roman"/>
                <w:b/>
                <w:color w:val="000000"/>
                <w:szCs w:val="21"/>
                <w:lang w:val="en-US" w:eastAsia="zh-CN"/>
              </w:rPr>
              <w:t>铁路专用连接线材：丝线或铜线—线芯绞合—PE包覆—截断—接头焊接—焊接处注塑包覆—</w:t>
            </w:r>
            <w:r>
              <w:rPr>
                <w:rFonts w:hint="eastAsia" w:ascii="宋体" w:hAnsi="宋体" w:cs="Times New Roman"/>
                <w:b/>
                <w:color w:val="000000"/>
                <w:szCs w:val="21"/>
                <w:lang w:val="en-US" w:eastAsia="zh-CN"/>
              </w:rPr>
              <w:t>成品</w:t>
            </w:r>
          </w:p>
          <w:p>
            <w:pPr>
              <w:tabs>
                <w:tab w:val="left" w:pos="360"/>
              </w:tabs>
              <w:ind w:left="11" w:leftChars="0" w:hanging="11" w:hangingChars="5"/>
              <w:jc w:val="left"/>
              <w:rPr>
                <w:rFonts w:hint="eastAsia"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电容防护盒、调谐设备基础防护装置、电缆槽的工艺流程：原材料—称重—模压—自然风干—人工修边—成品</w:t>
            </w:r>
          </w:p>
          <w:p>
            <w:pPr>
              <w:tabs>
                <w:tab w:val="left" w:pos="360"/>
              </w:tabs>
              <w:ind w:left="11" w:leftChars="0" w:hanging="11" w:hangingChars="5"/>
              <w:jc w:val="left"/>
              <w:rPr>
                <w:rFonts w:hint="default" w:ascii="宋体"/>
                <w:color w:val="000000"/>
                <w:szCs w:val="21"/>
                <w:lang w:val="en-US"/>
              </w:rPr>
            </w:pPr>
            <w:r>
              <w:rPr>
                <w:rFonts w:hint="eastAsia" w:ascii="宋体" w:hAnsi="宋体" w:eastAsia="宋体" w:cs="Times New Roman"/>
                <w:b/>
                <w:color w:val="000000"/>
                <w:szCs w:val="21"/>
                <w:lang w:val="en-US" w:eastAsia="zh-CN"/>
              </w:rPr>
              <w:t>销售服务流程：业务洽谈-合同评审-签订合同-采购-发货-验收结算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hint="eastAsia" w:ascii="宋体" w:hAnsi="宋体" w:eastAsia="宋体"/>
                <w:b/>
                <w:color w:val="000000"/>
                <w:szCs w:val="21"/>
                <w:lang w:eastAsia="zh-CN"/>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b/>
                <w:color w:val="000000"/>
                <w:szCs w:val="21"/>
              </w:rPr>
            </w:pPr>
            <w:r>
              <w:rPr>
                <w:rFonts w:hint="eastAsia" w:ascii="宋体" w:hAnsi="宋体"/>
                <w:b/>
                <w:color w:val="000000"/>
                <w:szCs w:val="21"/>
              </w:rPr>
              <w:t>铁路专用连接线、电容防护盒、调谐设备基础防护装置、电缆槽的生产和补偿电容的销售</w:t>
            </w:r>
          </w:p>
        </w:tc>
        <w:tc>
          <w:tcPr>
            <w:tcW w:w="2006" w:type="dxa"/>
            <w:gridSpan w:val="3"/>
            <w:vAlign w:val="center"/>
          </w:tcPr>
          <w:p>
            <w:pPr>
              <w:rPr>
                <w:b w:val="0"/>
                <w:bCs w:val="0"/>
                <w:sz w:val="21"/>
                <w:szCs w:val="21"/>
              </w:rPr>
            </w:pPr>
            <w:bookmarkStart w:id="32" w:name="专业代码"/>
            <w:r>
              <w:rPr>
                <w:sz w:val="20"/>
              </w:rPr>
              <w:t>Q：</w:t>
            </w:r>
            <w:r>
              <w:rPr>
                <w:b w:val="0"/>
                <w:bCs w:val="0"/>
                <w:sz w:val="21"/>
                <w:szCs w:val="21"/>
              </w:rPr>
              <w:t>14.02.04;</w:t>
            </w:r>
          </w:p>
          <w:p>
            <w:pPr>
              <w:jc w:val="left"/>
              <w:rPr>
                <w:rFonts w:ascii="宋体" w:hAnsi="宋体"/>
                <w:b/>
                <w:color w:val="000000"/>
                <w:szCs w:val="21"/>
              </w:rPr>
            </w:pPr>
            <w:r>
              <w:rPr>
                <w:b w:val="0"/>
                <w:bCs w:val="0"/>
                <w:sz w:val="21"/>
                <w:szCs w:val="21"/>
              </w:rPr>
              <w:t>19.11.02;29.10.07</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b/>
                <w:color w:val="000000"/>
                <w:szCs w:val="21"/>
              </w:rPr>
            </w:pPr>
            <w:r>
              <w:rPr>
                <w:rFonts w:hint="eastAsia" w:ascii="宋体" w:hAnsi="宋体"/>
                <w:b/>
                <w:color w:val="000000"/>
                <w:szCs w:val="21"/>
              </w:rPr>
              <w:t>铁路专用连接线、电容防护盒、调谐设备基础防护装置、电缆槽的生产和补偿电容的销售所涉及场所的相关环境管理活动</w:t>
            </w:r>
          </w:p>
        </w:tc>
        <w:tc>
          <w:tcPr>
            <w:tcW w:w="2006" w:type="dxa"/>
            <w:gridSpan w:val="3"/>
            <w:vAlign w:val="center"/>
          </w:tcPr>
          <w:p>
            <w:pPr>
              <w:rPr>
                <w:b w:val="0"/>
                <w:bCs w:val="0"/>
                <w:sz w:val="21"/>
                <w:szCs w:val="21"/>
              </w:rPr>
            </w:pPr>
            <w:r>
              <w:rPr>
                <w:sz w:val="20"/>
              </w:rPr>
              <w:t>E：</w:t>
            </w:r>
            <w:r>
              <w:rPr>
                <w:b w:val="0"/>
                <w:bCs w:val="0"/>
                <w:sz w:val="21"/>
                <w:szCs w:val="21"/>
              </w:rPr>
              <w:t>14.02.04;</w:t>
            </w:r>
          </w:p>
          <w:p>
            <w:pPr>
              <w:jc w:val="left"/>
              <w:rPr>
                <w:rFonts w:ascii="宋体" w:hAnsi="宋体"/>
                <w:b/>
                <w:color w:val="000000"/>
                <w:szCs w:val="21"/>
              </w:rPr>
            </w:pPr>
            <w:r>
              <w:rPr>
                <w:b w:val="0"/>
                <w:bCs w:val="0"/>
                <w:sz w:val="21"/>
                <w:szCs w:val="21"/>
              </w:rPr>
              <w:t>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b/>
                <w:color w:val="000000"/>
                <w:szCs w:val="21"/>
              </w:rPr>
            </w:pPr>
            <w:r>
              <w:rPr>
                <w:rFonts w:hint="eastAsia" w:ascii="宋体" w:hAnsi="宋体"/>
                <w:b/>
                <w:color w:val="000000"/>
                <w:szCs w:val="21"/>
              </w:rPr>
              <w:t>铁路专用连接线、电容防护盒、调谐设备基础防护装置、电缆槽的生产和补偿电容的销售所涉及场所的相关职业健康安全管理活动</w:t>
            </w:r>
          </w:p>
        </w:tc>
        <w:tc>
          <w:tcPr>
            <w:tcW w:w="2006" w:type="dxa"/>
            <w:gridSpan w:val="3"/>
            <w:vAlign w:val="center"/>
          </w:tcPr>
          <w:p>
            <w:pPr>
              <w:rPr>
                <w:b w:val="0"/>
                <w:bCs w:val="0"/>
                <w:sz w:val="21"/>
                <w:szCs w:val="21"/>
              </w:rPr>
            </w:pPr>
            <w:r>
              <w:rPr>
                <w:sz w:val="20"/>
              </w:rPr>
              <w:t>O：</w:t>
            </w:r>
            <w:r>
              <w:rPr>
                <w:b w:val="0"/>
                <w:bCs w:val="0"/>
                <w:sz w:val="21"/>
                <w:szCs w:val="21"/>
              </w:rPr>
              <w:t>14.02.04;</w:t>
            </w:r>
          </w:p>
          <w:p>
            <w:pPr>
              <w:spacing w:line="400" w:lineRule="exact"/>
              <w:rPr>
                <w:rFonts w:ascii="宋体" w:hAnsi="宋体"/>
                <w:b/>
                <w:color w:val="000000"/>
                <w:szCs w:val="21"/>
              </w:rPr>
            </w:pPr>
            <w:r>
              <w:rPr>
                <w:b w:val="0"/>
                <w:bCs w:val="0"/>
                <w:sz w:val="21"/>
                <w:szCs w:val="21"/>
              </w:rPr>
              <w:t>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sz w:val="21"/>
          <w:szCs w:val="21"/>
          <w:lang w:eastAsia="zh-CN"/>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51"/>
        <w:gridCol w:w="1570"/>
        <w:gridCol w:w="630"/>
        <w:gridCol w:w="2860"/>
        <w:gridCol w:w="1706"/>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185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7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6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0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2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51" w:type="dxa"/>
          </w:tcPr>
          <w:p>
            <w:pPr>
              <w:spacing w:before="40" w:after="40"/>
              <w:rPr>
                <w:rFonts w:hint="default" w:ascii="宋体" w:hAnsi="Times New Roman" w:eastAsia="Times New Roman" w:cs="Times New Roman"/>
                <w:b w:val="0"/>
                <w:bCs/>
                <w:color w:val="000000"/>
                <w:kern w:val="2"/>
                <w:sz w:val="21"/>
                <w:szCs w:val="21"/>
                <w:lang w:val="en-US" w:eastAsia="zh-CN" w:bidi="ar-SA"/>
              </w:rPr>
            </w:pPr>
            <w:r>
              <w:rPr>
                <w:rFonts w:hint="eastAsia" w:ascii="宋体" w:hAnsi="Times New Roman" w:eastAsia="Times New Roman" w:cs="Times New Roman"/>
                <w:b w:val="0"/>
                <w:bCs/>
                <w:color w:val="000000"/>
                <w:kern w:val="2"/>
                <w:sz w:val="21"/>
                <w:szCs w:val="21"/>
                <w:lang w:val="de-DE" w:eastAsia="zh-CN" w:bidi="ar-SA"/>
              </w:rPr>
              <w:t>饶阳县路胜铁路信号器材有限公司</w:t>
            </w:r>
            <w:r>
              <w:rPr>
                <w:rFonts w:hint="eastAsia" w:ascii="宋体" w:eastAsia="Times New Roman" w:cs="Times New Roman"/>
                <w:b w:val="0"/>
                <w:bCs/>
                <w:color w:val="000000"/>
                <w:kern w:val="2"/>
                <w:sz w:val="21"/>
                <w:szCs w:val="21"/>
                <w:lang w:val="en-US" w:eastAsia="zh-CN" w:bidi="ar-SA"/>
              </w:rPr>
              <w:t>/</w:t>
            </w:r>
            <w:r>
              <w:rPr>
                <w:rFonts w:hint="eastAsia" w:ascii="宋体" w:hAnsi="Times New Roman" w:eastAsia="Times New Roman" w:cs="Times New Roman"/>
                <w:b w:val="0"/>
                <w:bCs/>
                <w:color w:val="000000"/>
                <w:kern w:val="2"/>
                <w:sz w:val="21"/>
                <w:szCs w:val="21"/>
                <w:lang w:val="de-DE" w:eastAsia="zh-CN" w:bidi="ar-SA"/>
              </w:rPr>
              <w:t>饶阳县北官庄村村北工业区</w:t>
            </w:r>
          </w:p>
        </w:tc>
        <w:tc>
          <w:tcPr>
            <w:tcW w:w="1570" w:type="dxa"/>
          </w:tcPr>
          <w:p>
            <w:pPr>
              <w:spacing w:before="40" w:after="40"/>
              <w:rPr>
                <w:rFonts w:hint="eastAsia" w:ascii="宋体" w:hAnsi="Times New Roman" w:eastAsia="Times New Roman" w:cs="Times New Roman"/>
                <w:b w:val="0"/>
                <w:bCs/>
                <w:color w:val="000000"/>
                <w:kern w:val="2"/>
                <w:sz w:val="21"/>
                <w:szCs w:val="21"/>
                <w:lang w:val="de-DE" w:eastAsia="ja-JP" w:bidi="ar-SA"/>
              </w:rPr>
            </w:pPr>
            <w:r>
              <w:rPr>
                <w:rFonts w:hint="eastAsia" w:ascii="宋体" w:hAnsi="Times New Roman" w:eastAsia="Times New Roman" w:cs="Times New Roman"/>
                <w:b w:val="0"/>
                <w:bCs/>
                <w:color w:val="000000"/>
                <w:kern w:val="2"/>
                <w:sz w:val="21"/>
                <w:szCs w:val="21"/>
                <w:lang w:val="de-DE" w:eastAsia="zh-CN" w:bidi="ar-SA"/>
              </w:rPr>
              <w:t>饶阳县北官庄村村北工业区</w:t>
            </w:r>
          </w:p>
        </w:tc>
        <w:tc>
          <w:tcPr>
            <w:tcW w:w="630" w:type="dxa"/>
            <w:vAlign w:val="center"/>
          </w:tcPr>
          <w:p>
            <w:pPr>
              <w:spacing w:before="40" w:after="40"/>
              <w:rPr>
                <w:rFonts w:hint="default" w:ascii="宋体" w:hAnsi="Times New Roman" w:eastAsia="Times New Roman" w:cs="Times New Roman"/>
                <w:b w:val="0"/>
                <w:bCs/>
                <w:color w:val="000000"/>
                <w:kern w:val="2"/>
                <w:sz w:val="21"/>
                <w:szCs w:val="21"/>
                <w:lang w:val="en-US" w:eastAsia="zh-CN" w:bidi="ar-SA"/>
              </w:rPr>
            </w:pPr>
            <w:r>
              <w:rPr>
                <w:rFonts w:hint="eastAsia" w:ascii="宋体" w:hAnsi="Times New Roman" w:eastAsia="Times New Roman" w:cs="Times New Roman"/>
                <w:b w:val="0"/>
                <w:bCs/>
                <w:color w:val="000000"/>
                <w:kern w:val="2"/>
                <w:sz w:val="21"/>
                <w:szCs w:val="21"/>
                <w:lang w:val="en-US" w:eastAsia="zh-CN" w:bidi="ar-SA"/>
              </w:rPr>
              <w:t>25</w:t>
            </w:r>
          </w:p>
        </w:tc>
        <w:tc>
          <w:tcPr>
            <w:tcW w:w="28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宋体" w:hAnsi="Times New Roman" w:eastAsia="Times New Roman" w:cs="Times New Roman"/>
                <w:b w:val="0"/>
                <w:bCs/>
                <w:color w:val="000000"/>
                <w:kern w:val="2"/>
                <w:sz w:val="21"/>
                <w:szCs w:val="21"/>
                <w:lang w:val="en-US" w:eastAsia="ja-JP" w:bidi="ar-SA"/>
              </w:rPr>
            </w:pPr>
            <w:r>
              <w:rPr>
                <w:rFonts w:hint="eastAsia" w:ascii="宋体" w:hAnsi="Times New Roman" w:eastAsia="Times New Roman" w:cs="Times New Roman"/>
                <w:b w:val="0"/>
                <w:bCs/>
                <w:color w:val="000000"/>
                <w:kern w:val="2"/>
                <w:sz w:val="21"/>
                <w:szCs w:val="21"/>
                <w:lang w:val="de-DE" w:eastAsia="zh-CN" w:bidi="ar-SA"/>
              </w:rPr>
              <w:t>铁路专用连接线、电容防护盒、调谐设备基础防护装置、电缆槽的生产和补偿电容的销售</w:t>
            </w:r>
          </w:p>
        </w:tc>
        <w:tc>
          <w:tcPr>
            <w:tcW w:w="1706"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2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pStyle w:val="2"/>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eastAsia="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hint="eastAsia" w:ascii="宋体" w:eastAsia="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hint="eastAsia" w:ascii="宋体" w:eastAsia="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27-28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 xml:space="preserve">  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焊接、模压、注塑、销售过程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val="en-US" w:eastAsia="zh-CN"/>
              </w:rPr>
              <w:t>产</w:t>
            </w:r>
            <w:r>
              <w:rPr>
                <w:rFonts w:hint="eastAsia" w:ascii="宋体"/>
                <w:color w:val="000000"/>
                <w:spacing w:val="-10"/>
                <w:szCs w:val="21"/>
                <w:lang w:eastAsia="zh-CN"/>
              </w:rPr>
              <w:t>品运输、焊接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w:t>
            </w:r>
            <w:r>
              <w:rPr>
                <w:rFonts w:hint="eastAsia" w:ascii="宋体"/>
                <w:color w:val="000000"/>
                <w:szCs w:val="21"/>
                <w:lang w:eastAsia="zh-CN"/>
              </w:rPr>
              <w:t>固定污染源</w:t>
            </w:r>
            <w:r>
              <w:rPr>
                <w:rFonts w:hint="eastAsia" w:ascii="宋体"/>
                <w:color w:val="000000"/>
                <w:szCs w:val="21"/>
              </w:rPr>
              <w:t>排污</w:t>
            </w:r>
            <w:r>
              <w:rPr>
                <w:rFonts w:hint="eastAsia" w:ascii="宋体"/>
                <w:color w:val="000000"/>
                <w:szCs w:val="21"/>
                <w:lang w:eastAsia="zh-CN"/>
              </w:rPr>
              <w:t>登记回执</w:t>
            </w:r>
            <w:r>
              <w:rPr>
                <w:rFonts w:hint="eastAsia" w:ascii="宋体"/>
                <w:color w:val="000000"/>
                <w:szCs w:val="21"/>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w:t>
            </w:r>
            <w:r>
              <w:rPr>
                <w:rFonts w:hint="eastAsia" w:ascii="宋体"/>
                <w:color w:val="000000"/>
                <w:spacing w:val="-10"/>
                <w:szCs w:val="21"/>
                <w:lang w:eastAsia="zh-CN"/>
              </w:rPr>
              <w:t>治理</w:t>
            </w:r>
            <w:r>
              <w:rPr>
                <w:rFonts w:hint="eastAsia" w:ascii="宋体"/>
                <w:color w:val="000000"/>
                <w:spacing w:val="-10"/>
                <w:szCs w:val="21"/>
              </w:rPr>
              <w:t>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A3"/>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2022-07-1</w:t>
            </w:r>
            <w:bookmarkEnd w:id="33"/>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1702435</wp:posOffset>
            </wp:positionH>
            <wp:positionV relativeFrom="paragraph">
              <wp:posOffset>224155</wp:posOffset>
            </wp:positionV>
            <wp:extent cx="1045210" cy="50355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2022年7月18日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472"/>
        <w:gridCol w:w="2327"/>
        <w:gridCol w:w="144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26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2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4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47"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260"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识别的外包过程与实际不符</w:t>
            </w:r>
          </w:p>
        </w:tc>
        <w:tc>
          <w:tcPr>
            <w:tcW w:w="2327"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pStyle w:val="7"/>
              <w:pBdr>
                <w:bottom w:val="none" w:color="auto" w:sz="0" w:space="0"/>
              </w:pBdr>
              <w:ind w:right="600"/>
              <w:jc w:val="both"/>
              <w:rPr>
                <w:color w:val="000000"/>
                <w:sz w:val="21"/>
                <w:szCs w:val="21"/>
              </w:rPr>
            </w:pPr>
            <w:r>
              <w:rPr>
                <w:rFonts w:hint="eastAsia" w:ascii="宋体" w:hAnsi="宋体"/>
                <w:b w:val="0"/>
                <w:bCs w:val="0"/>
                <w:sz w:val="21"/>
                <w:szCs w:val="21"/>
              </w:rPr>
              <w:t>GB/T45001-2020</w:t>
            </w:r>
          </w:p>
        </w:tc>
        <w:tc>
          <w:tcPr>
            <w:tcW w:w="1446"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47"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260"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识别的需确认过程与实际不符</w:t>
            </w:r>
          </w:p>
        </w:tc>
        <w:tc>
          <w:tcPr>
            <w:tcW w:w="2327"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color w:val="000000"/>
                <w:sz w:val="21"/>
                <w:szCs w:val="21"/>
              </w:rPr>
            </w:pPr>
            <w:r>
              <w:rPr>
                <w:rFonts w:hint="eastAsia" w:ascii="宋体" w:hAnsi="宋体"/>
                <w:b w:val="0"/>
                <w:bCs w:val="0"/>
                <w:sz w:val="21"/>
                <w:szCs w:val="21"/>
              </w:rPr>
              <w:t>GB/T19001-2016</w:t>
            </w:r>
          </w:p>
        </w:tc>
        <w:tc>
          <w:tcPr>
            <w:tcW w:w="1446"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147"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孙红丹</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bookmarkStart w:id="34" w:name="_GoBack"/>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484505</wp:posOffset>
                  </wp:positionH>
                  <wp:positionV relativeFrom="paragraph">
                    <wp:posOffset>144780</wp:posOffset>
                  </wp:positionV>
                  <wp:extent cx="1045210" cy="50355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bookmarkEnd w:id="34"/>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2DD6E97"/>
    <w:rsid w:val="208952D4"/>
    <w:rsid w:val="2B0F4266"/>
    <w:rsid w:val="2B6F41B1"/>
    <w:rsid w:val="355D23D3"/>
    <w:rsid w:val="35E52AF5"/>
    <w:rsid w:val="3D8A6C29"/>
    <w:rsid w:val="3F8C140D"/>
    <w:rsid w:val="506F7733"/>
    <w:rsid w:val="575E5E0B"/>
    <w:rsid w:val="5B2664EF"/>
    <w:rsid w:val="681A1E89"/>
    <w:rsid w:val="6BA72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next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2022-07-25T10:33:09Z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2052-11.1.0.11753</vt:lpwstr>
  </property>
</Properties>
</file>