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270"/>
        <w:gridCol w:w="748"/>
        <w:gridCol w:w="974"/>
        <w:gridCol w:w="256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绍兴嘉盛仪表股份有限公司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浙江省绍兴市越城区会稽路319号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浙江省绍兴市越城区会稽路319号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18505750707</w:t>
            </w:r>
            <w:bookmarkEnd w:id="4"/>
          </w:p>
        </w:tc>
        <w:tc>
          <w:tcPr>
            <w:tcW w:w="9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18505750707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0892-2022-EnMS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1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08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3" w:name="_GoBack"/>
            <w:bookmarkStart w:id="18" w:name="审核范围"/>
            <w:r>
              <w:rPr>
                <w:sz w:val="20"/>
              </w:rPr>
              <w:t>组合仪表的设计与制造所涉及的能源管理活动</w:t>
            </w:r>
            <w:bookmarkEnd w:id="18"/>
            <w:bookmarkEnd w:id="23"/>
          </w:p>
        </w:tc>
        <w:tc>
          <w:tcPr>
            <w:tcW w:w="172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2.7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RB/T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119-2015能源管理体系 机械制造企业认证要求</w:t>
            </w: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2022年07月18日 上午至2022年07月19日 下午</w:t>
            </w:r>
            <w:bookmarkEnd w:id="20"/>
            <w:r>
              <w:rPr>
                <w:rFonts w:hint="eastAsia"/>
                <w:b/>
                <w:sz w:val="20"/>
              </w:rPr>
              <w:t>(共</w:t>
            </w:r>
            <w:bookmarkStart w:id="21" w:name="审核天数"/>
            <w:r>
              <w:rPr>
                <w:rFonts w:hint="eastAsia"/>
                <w:b/>
                <w:sz w:val="20"/>
              </w:rPr>
              <w:t>2.0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远程审核于2022年07月18日 上午至2022年07月19日 下午(共2.0天)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93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审核形式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193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978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193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远程审核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2" w:name="审核派遣人"/>
            <w:r>
              <w:rPr>
                <w:sz w:val="21"/>
                <w:szCs w:val="21"/>
              </w:rPr>
              <w:t>李永忠</w:t>
            </w:r>
            <w:bookmarkEnd w:id="22"/>
          </w:p>
        </w:tc>
        <w:tc>
          <w:tcPr>
            <w:tcW w:w="224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93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93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2022.7.17</w:t>
            </w:r>
          </w:p>
        </w:tc>
        <w:tc>
          <w:tcPr>
            <w:tcW w:w="224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93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2022.7.19</w:t>
            </w:r>
          </w:p>
        </w:tc>
      </w:tr>
    </w:tbl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60"/>
        <w:gridCol w:w="1150"/>
        <w:gridCol w:w="3490"/>
        <w:gridCol w:w="2040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4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18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第一天</w:t>
            </w:r>
          </w:p>
        </w:tc>
        <w:tc>
          <w:tcPr>
            <w:tcW w:w="11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4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-9:00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组织所处的环境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相关方的需求和期望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能源管理体系的范围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能源管理体系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领导作用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能源方针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风险和机遇的措施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资源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管理评审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持续改进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对一阶段问题整改情况的确认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7.1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9.3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目标、能源指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完成情况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沟通交流、运行控制、设计；法律法规要求和其他要求的合规性评价；内部审核</w:t>
            </w:r>
          </w:p>
        </w:tc>
        <w:tc>
          <w:tcPr>
            <w:tcW w:w="204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EnMS: 5.3/6.2/7.4/8.1/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8.2/9.1.2/9.2/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150" w:type="dxa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人资部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综合部的岗位、职责和权限；目标、能源指标及其实现的策划；能源意识和信息交流；文件化信息；运行的策划和控制；</w:t>
            </w:r>
          </w:p>
        </w:tc>
        <w:tc>
          <w:tcPr>
            <w:tcW w:w="204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EnMS：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5.3/6.2/7.2/7.3/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7.4/7.5/8.1/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349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采购部的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主要用能设备/采购（含电器开关有无淘汰落后产品）</w:t>
            </w:r>
          </w:p>
        </w:tc>
        <w:tc>
          <w:tcPr>
            <w:tcW w:w="204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7-19</w:t>
            </w: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第2天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8:00-16:00</w:t>
            </w:r>
          </w:p>
        </w:tc>
        <w:tc>
          <w:tcPr>
            <w:tcW w:w="115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49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生产部的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公司及生产部的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能源目标、指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能源评审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能源绩效参数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能源基准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采集能源数据的策划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运行的策划和控制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能源绩效和能源管理体系的监视、测量、分析和评价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不符合与纠正措施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6.4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6.5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10.1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1150" w:type="dxa"/>
            <w:vAlign w:val="top"/>
          </w:tcPr>
          <w:p>
            <w:pPr>
              <w:pStyle w:val="2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  <w:p>
            <w:pPr>
              <w:pStyle w:val="2"/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  <w:vAlign w:val="top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标完成情况；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运行控制</w:t>
            </w:r>
          </w:p>
        </w:tc>
        <w:tc>
          <w:tcPr>
            <w:tcW w:w="204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</w:p>
        </w:tc>
        <w:tc>
          <w:tcPr>
            <w:tcW w:w="1201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:30-1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质保部</w:t>
            </w: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岗位、职责和权限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能源指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标完成情况；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运行控制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MS: 5.3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8.1</w:t>
            </w: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6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:00-1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:30</w:t>
            </w:r>
          </w:p>
        </w:tc>
        <w:tc>
          <w:tcPr>
            <w:tcW w:w="115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490" w:type="dxa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末次会议、审核发现宣告、审核结论</w:t>
            </w:r>
          </w:p>
        </w:tc>
        <w:tc>
          <w:tcPr>
            <w:tcW w:w="20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pStyle w:val="11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午餐时间12:00-12:30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7551AB"/>
    <w:rsid w:val="315A0967"/>
    <w:rsid w:val="40B06F0B"/>
    <w:rsid w:val="74D966DE"/>
    <w:rsid w:val="7E7F32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</TotalTime>
  <ScaleCrop>false</ScaleCrop>
  <LinksUpToDate>false</LinksUpToDate>
  <CharactersWithSpaces>5345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2022-07-19T08:13:28Z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2052-11.1.0.11435</vt:lpwstr>
  </property>
</Properties>
</file>