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0654-2021-EnMs-2022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浙江泰福泵业股份有限公司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R197EnMS210028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913310816100020466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Times New Roman" w:hAnsi="Times New Roman" w:eastAsia="宋体" w:cs="Times New Roman"/>
                <w:sz w:val="22"/>
                <w:szCs w:val="22"/>
                <w:lang w:val="en-US" w:eastAsia="zh-CN"/>
              </w:rPr>
              <w:t>RB/T 119-2015《能源管理体系 机械制造企业认证要求》</w:t>
            </w:r>
            <w:r>
              <w:rPr>
                <w:rFonts w:hint="eastAsia" w:ascii="Times New Roman" w:hAnsi="Times New Roman" w:eastAsia="宋体" w:cs="Times New Roman"/>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5"/>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浙江泰福泵业股份有限公司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水泵的研发和生产相关的能源管理活动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浙江省台州市温岭市松门镇东南工业园区（海天名苑小区往东800米）</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温岭市东部新区龙门大道5号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8"/>
              <w:spacing w:before="0" w:after="0"/>
              <w:jc w:val="left"/>
              <w:rPr>
                <w:rFonts w:cs="Arial"/>
                <w:b/>
                <w:bCs/>
                <w:sz w:val="22"/>
                <w:szCs w:val="22"/>
              </w:rPr>
            </w:pPr>
            <w:r>
              <w:rPr>
                <w:rFonts w:hint="eastAsia" w:cs="Arial"/>
                <w:b/>
                <w:bCs/>
                <w:sz w:val="22"/>
                <w:szCs w:val="22"/>
              </w:rPr>
              <w:t>公司名称 - 总部</w:t>
            </w:r>
          </w:p>
          <w:p>
            <w:pPr>
              <w:pStyle w:val="18"/>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HQ</w:t>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8"/>
              <w:spacing w:before="0" w:after="0"/>
              <w:jc w:val="left"/>
              <w:rPr>
                <w:rFonts w:cs="Arial"/>
                <w:b/>
                <w:bCs/>
                <w:sz w:val="22"/>
                <w:szCs w:val="22"/>
              </w:rPr>
            </w:pPr>
            <w:r>
              <w:rPr>
                <w:rFonts w:hint="eastAsia" w:cs="Arial"/>
                <w:b/>
                <w:bCs/>
                <w:sz w:val="22"/>
                <w:szCs w:val="22"/>
              </w:rPr>
              <w:t>注册地址：</w:t>
            </w:r>
          </w:p>
          <w:p>
            <w:pPr>
              <w:pStyle w:val="18"/>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pStyle w:val="18"/>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8"/>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8"/>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8"/>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8"/>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浙江泰福泵业股份有限公司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r>
        <w:rPr>
          <w:b/>
          <w:color w:val="000000" w:themeColor="text1"/>
          <w:sz w:val="22"/>
          <w:szCs w:val="22"/>
        </w:rPr>
        <w:t>R197EnMS210028</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浙江省台州市温岭市松门镇东南工业园区（海天名苑小区往东800米）/温岭市东部新区龙门大道5号</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eastAsia="宋体" w:cs="Times New Roman"/>
          <w:b/>
          <w:sz w:val="21"/>
          <w:szCs w:val="21"/>
          <w:lang w:val="en-US" w:eastAsia="zh-CN"/>
        </w:rPr>
        <w:t>RB/T 119-2015《能源管理体系 机械制造企业认证要求》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4377"/>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377"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3300"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929" w:type="dxa"/>
            <w:vMerge w:val="restart"/>
            <w:vAlign w:val="top"/>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7</w:t>
            </w:r>
            <w:r>
              <w:rPr>
                <w:rFonts w:hint="eastAsia"/>
                <w:sz w:val="20"/>
                <w:szCs w:val="22"/>
              </w:rPr>
              <w:t>月</w:t>
            </w:r>
          </w:p>
          <w:p>
            <w:pPr>
              <w:pStyle w:val="3"/>
              <w:spacing w:line="400" w:lineRule="exact"/>
              <w:ind w:firstLine="0" w:firstLineChars="0"/>
              <w:rPr>
                <w:rFonts w:ascii="宋体" w:hAnsi="宋体"/>
                <w:b/>
                <w:color w:val="000000" w:themeColor="text1"/>
                <w:sz w:val="24"/>
                <w:szCs w:val="24"/>
              </w:rPr>
            </w:pPr>
            <w:r>
              <w:rPr>
                <w:rFonts w:hint="eastAsia"/>
                <w:sz w:val="20"/>
                <w:szCs w:val="22"/>
                <w:lang w:val="en-US" w:eastAsia="zh-CN"/>
              </w:rPr>
              <w:t>2日</w:t>
            </w:r>
            <w:r>
              <w:rPr>
                <w:rFonts w:hint="eastAsia"/>
                <w:sz w:val="20"/>
                <w:szCs w:val="22"/>
              </w:rPr>
              <w:t>-</w:t>
            </w:r>
            <w:r>
              <w:rPr>
                <w:rFonts w:hint="eastAsia"/>
                <w:sz w:val="20"/>
                <w:szCs w:val="22"/>
                <w:lang w:val="en-US" w:eastAsia="zh-CN"/>
              </w:rPr>
              <w:t>4日</w:t>
            </w:r>
          </w:p>
        </w:tc>
        <w:tc>
          <w:tcPr>
            <w:tcW w:w="4377" w:type="dxa"/>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300" w:type="dxa"/>
            <w:vMerge w:val="restart"/>
          </w:tcPr>
          <w:p>
            <w:pPr>
              <w:pStyle w:val="3"/>
              <w:numPr>
                <w:ilvl w:val="0"/>
                <w:numId w:val="1"/>
              </w:numPr>
              <w:spacing w:line="40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浙江省台州市温岭市松门镇东南工业园区（海天名苑小区往东800米）/温岭市东部新区龙门大道5号的浙江泰福泵业股份有限公司。</w:t>
            </w:r>
          </w:p>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2、主要生产系统：生产部（包含：铝压铸车间，冲压车间，注塑车间，电泳车间，包装车间）。</w:t>
            </w:r>
          </w:p>
          <w:p>
            <w:pPr>
              <w:pStyle w:val="3"/>
              <w:spacing w:line="320" w:lineRule="exact"/>
              <w:ind w:firstLine="0"/>
              <w:rPr>
                <w:rFonts w:ascii="宋体" w:hAnsi="宋体"/>
                <w:b/>
                <w:color w:val="000000" w:themeColor="text1"/>
                <w:sz w:val="24"/>
                <w:szCs w:val="24"/>
              </w:rPr>
            </w:pPr>
            <w:r>
              <w:rPr>
                <w:rFonts w:hint="eastAsia" w:ascii="Times New Roman" w:hAnsi="Times New Roman" w:eastAsia="宋体" w:cs="Times New Roman"/>
                <w:sz w:val="20"/>
                <w:szCs w:val="22"/>
                <w:lang w:val="en-US" w:eastAsia="zh-CN"/>
              </w:rPr>
              <w:t>3、辅助生产系统：管理部、采购部、财务部、技术部。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9" w:type="dxa"/>
            <w:vMerge w:val="continue"/>
            <w:vAlign w:val="top"/>
          </w:tcPr>
          <w:p>
            <w:pPr>
              <w:pStyle w:val="3"/>
              <w:spacing w:line="400" w:lineRule="exact"/>
              <w:ind w:firstLine="0" w:firstLineChars="0"/>
              <w:rPr>
                <w:sz w:val="20"/>
                <w:szCs w:val="22"/>
              </w:rPr>
            </w:pPr>
          </w:p>
        </w:tc>
        <w:tc>
          <w:tcPr>
            <w:tcW w:w="4377" w:type="dxa"/>
            <w:vAlign w:val="top"/>
          </w:tcPr>
          <w:p>
            <w:pPr>
              <w:pStyle w:val="3"/>
              <w:spacing w:line="320" w:lineRule="exact"/>
              <w:ind w:firstLine="0" w:firstLineChars="0"/>
              <w:rPr>
                <w:rFonts w:hint="eastAsia"/>
                <w:b/>
                <w:bCs/>
                <w:sz w:val="20"/>
                <w:lang w:val="en-US" w:eastAsia="zh-CN"/>
              </w:rPr>
            </w:pPr>
            <w:r>
              <w:rPr>
                <w:rFonts w:hint="eastAsia"/>
                <w:b/>
                <w:bCs/>
                <w:sz w:val="20"/>
                <w:lang w:val="en-US" w:eastAsia="zh-CN"/>
              </w:rPr>
              <w:t>产量：</w:t>
            </w:r>
            <w:r>
              <w:rPr>
                <w:rFonts w:hint="eastAsia" w:ascii="宋体" w:hAnsi="宋体" w:eastAsia="宋体" w:cs="宋体"/>
                <w:i w:val="0"/>
                <w:iCs w:val="0"/>
                <w:color w:val="000000"/>
                <w:kern w:val="0"/>
                <w:sz w:val="22"/>
                <w:szCs w:val="22"/>
                <w:u w:val="none"/>
                <w:lang w:val="en-US" w:eastAsia="zh-CN" w:bidi="ar"/>
              </w:rPr>
              <w:t>1548423台、</w:t>
            </w:r>
          </w:p>
          <w:p>
            <w:pPr>
              <w:pStyle w:val="3"/>
              <w:spacing w:line="320" w:lineRule="exact"/>
              <w:ind w:firstLine="0" w:firstLineChars="0"/>
              <w:rPr>
                <w:rFonts w:ascii="宋体" w:hAnsi="宋体"/>
                <w:b/>
                <w:color w:val="000000" w:themeColor="text1"/>
                <w:szCs w:val="24"/>
              </w:rPr>
            </w:pPr>
            <w:r>
              <w:rPr>
                <w:rFonts w:hint="eastAsia"/>
                <w:b/>
                <w:bCs/>
                <w:sz w:val="20"/>
                <w:lang w:val="en-US" w:eastAsia="zh-CN"/>
              </w:rPr>
              <w:t>产值（万元）：</w:t>
            </w:r>
            <w:r>
              <w:rPr>
                <w:rFonts w:hint="eastAsia" w:ascii="宋体" w:hAnsi="宋体" w:eastAsia="宋体" w:cs="宋体"/>
                <w:i w:val="0"/>
                <w:iCs w:val="0"/>
                <w:color w:val="000000"/>
                <w:kern w:val="0"/>
                <w:sz w:val="22"/>
                <w:szCs w:val="22"/>
                <w:u w:val="none"/>
                <w:lang w:val="en-US" w:eastAsia="zh-CN" w:bidi="ar"/>
              </w:rPr>
              <w:t>43345.2</w:t>
            </w:r>
            <w:bookmarkStart w:id="23" w:name="_GoBack"/>
            <w:bookmarkEnd w:id="23"/>
            <w:r>
              <w:rPr>
                <w:rFonts w:hint="eastAsia" w:ascii="宋体" w:hAnsi="宋体" w:eastAsia="宋体" w:cs="Times New Roman"/>
                <w:kern w:val="2"/>
                <w:sz w:val="21"/>
                <w:szCs w:val="22"/>
                <w:lang w:val="en-US" w:eastAsia="zh-CN" w:bidi="ar-SA"/>
              </w:rPr>
              <w:t>；</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29" w:type="dxa"/>
            <w:vMerge w:val="continue"/>
            <w:vAlign w:val="top"/>
          </w:tcPr>
          <w:p>
            <w:pPr>
              <w:pStyle w:val="3"/>
              <w:spacing w:line="400" w:lineRule="exact"/>
              <w:ind w:firstLine="0" w:firstLineChars="0"/>
              <w:rPr>
                <w:sz w:val="20"/>
                <w:szCs w:val="22"/>
              </w:rPr>
            </w:pPr>
          </w:p>
        </w:tc>
        <w:tc>
          <w:tcPr>
            <w:tcW w:w="4377" w:type="dxa"/>
            <w:vAlign w:val="top"/>
          </w:tcPr>
          <w:p>
            <w:pPr>
              <w:pStyle w:val="3"/>
              <w:spacing w:line="320" w:lineRule="exact"/>
              <w:ind w:firstLine="0" w:firstLineChars="0"/>
              <w:rPr>
                <w:rFonts w:ascii="宋体" w:hAnsi="宋体"/>
                <w:b/>
                <w:color w:val="000000" w:themeColor="text1"/>
                <w:szCs w:val="24"/>
              </w:rPr>
            </w:pPr>
            <w:r>
              <w:rPr>
                <w:rFonts w:hint="eastAsia" w:ascii="Times New Roman" w:hAnsi="Times New Roman" w:eastAsia="宋体" w:cs="Times New Roman"/>
                <w:kern w:val="2"/>
                <w:sz w:val="20"/>
                <w:szCs w:val="22"/>
                <w:lang w:val="zh-CN" w:eastAsia="zh-CN" w:bidi="ar-SA"/>
              </w:rPr>
              <w:t>综合能耗</w:t>
            </w:r>
            <w:r>
              <w:rPr>
                <w:rFonts w:hint="eastAsia" w:cs="Times New Roman"/>
                <w:kern w:val="2"/>
                <w:sz w:val="20"/>
                <w:szCs w:val="22"/>
                <w:lang w:val="zh-CN" w:eastAsia="zh-CN" w:bidi="ar-SA"/>
              </w:rPr>
              <w:t>（</w:t>
            </w:r>
            <w:r>
              <w:rPr>
                <w:rFonts w:hint="eastAsia" w:cs="Times New Roman"/>
                <w:kern w:val="2"/>
                <w:sz w:val="20"/>
                <w:szCs w:val="22"/>
                <w:lang w:val="en-US" w:eastAsia="zh-CN" w:bidi="ar-SA"/>
              </w:rPr>
              <w:t>吨标煤</w:t>
            </w:r>
            <w:r>
              <w:rPr>
                <w:rFonts w:hint="eastAsia" w:cs="Times New Roman"/>
                <w:kern w:val="2"/>
                <w:sz w:val="20"/>
                <w:szCs w:val="22"/>
                <w:lang w:val="zh-CN" w:eastAsia="zh-CN" w:bidi="ar-SA"/>
              </w:rPr>
              <w:t>）：</w:t>
            </w:r>
            <w:r>
              <w:rPr>
                <w:rFonts w:hint="eastAsia" w:ascii="宋体" w:hAnsi="宋体" w:eastAsia="宋体" w:cs="宋体"/>
                <w:i w:val="0"/>
                <w:iCs w:val="0"/>
                <w:color w:val="000000"/>
                <w:kern w:val="0"/>
                <w:sz w:val="22"/>
                <w:szCs w:val="22"/>
                <w:u w:val="none"/>
                <w:lang w:val="en-US" w:eastAsia="zh-CN" w:bidi="ar"/>
              </w:rPr>
              <w:t>2320.63077</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29" w:type="dxa"/>
            <w:vMerge w:val="continue"/>
            <w:vAlign w:val="top"/>
          </w:tcPr>
          <w:p>
            <w:pPr>
              <w:pStyle w:val="3"/>
              <w:spacing w:line="400" w:lineRule="exact"/>
              <w:ind w:firstLine="0" w:firstLineChars="0"/>
              <w:rPr>
                <w:sz w:val="20"/>
                <w:szCs w:val="22"/>
              </w:rPr>
            </w:pPr>
          </w:p>
        </w:tc>
        <w:tc>
          <w:tcPr>
            <w:tcW w:w="4377" w:type="dxa"/>
            <w:vAlign w:val="top"/>
          </w:tcPr>
          <w:p>
            <w:pPr>
              <w:ind w:left="1000" w:hanging="1000" w:hangingChars="500"/>
              <w:jc w:val="left"/>
              <w:rPr>
                <w:rFonts w:hint="eastAsia" w:ascii="宋体" w:hAnsi="宋体" w:eastAsia="宋体" w:cs="宋体"/>
                <w:i w:val="0"/>
                <w:iCs w:val="0"/>
                <w:color w:val="000000"/>
                <w:kern w:val="0"/>
                <w:sz w:val="22"/>
                <w:szCs w:val="22"/>
                <w:u w:val="none"/>
                <w:lang w:val="en-US" w:eastAsia="zh-CN" w:bidi="ar"/>
              </w:rPr>
            </w:pPr>
            <w:r>
              <w:rPr>
                <w:rFonts w:hint="eastAsia" w:cs="Times New Roman"/>
                <w:kern w:val="2"/>
                <w:sz w:val="20"/>
                <w:szCs w:val="22"/>
                <w:lang w:val="en-US" w:eastAsia="zh-CN" w:bidi="ar-SA"/>
              </w:rPr>
              <w:t>单位能耗</w:t>
            </w:r>
            <w:r>
              <w:rPr>
                <w:rFonts w:hint="eastAsia" w:ascii="Times New Roman" w:hAnsi="Times New Roman" w:eastAsia="宋体" w:cs="Times New Roman"/>
                <w:kern w:val="2"/>
                <w:sz w:val="20"/>
                <w:szCs w:val="22"/>
                <w:lang w:val="en-US" w:eastAsia="zh-CN" w:bidi="ar-SA"/>
              </w:rPr>
              <w:t>：</w:t>
            </w:r>
            <w:r>
              <w:rPr>
                <w:rFonts w:hint="eastAsia" w:cs="Times New Roman"/>
                <w:kern w:val="2"/>
                <w:sz w:val="20"/>
                <w:szCs w:val="22"/>
                <w:lang w:val="en-US" w:eastAsia="zh-CN" w:bidi="ar-SA"/>
              </w:rPr>
              <w:t>单位产品能耗</w:t>
            </w:r>
            <w:r>
              <w:rPr>
                <w:rFonts w:hint="eastAsia" w:ascii="Times New Roman" w:hAnsi="Times New Roman" w:eastAsia="宋体" w:cs="Times New Roman"/>
                <w:kern w:val="2"/>
                <w:sz w:val="20"/>
                <w:szCs w:val="22"/>
                <w:lang w:val="en-US" w:eastAsia="zh-CN" w:bidi="ar-SA"/>
              </w:rPr>
              <w:t>1.47kgce</w:t>
            </w:r>
            <w:r>
              <w:rPr>
                <w:rFonts w:hint="eastAsia" w:ascii="宋体" w:hAnsi="宋体" w:eastAsia="宋体" w:cs="宋体"/>
                <w:i w:val="0"/>
                <w:iCs w:val="0"/>
                <w:color w:val="000000"/>
                <w:kern w:val="0"/>
                <w:sz w:val="22"/>
                <w:szCs w:val="22"/>
                <w:u w:val="none"/>
                <w:lang w:val="en-US" w:eastAsia="zh-CN" w:bidi="ar"/>
              </w:rPr>
              <w:t>/台；</w:t>
            </w:r>
          </w:p>
          <w:p>
            <w:pPr>
              <w:ind w:left="1073" w:leftChars="447" w:firstLine="0" w:firstLineChars="0"/>
              <w:jc w:val="left"/>
              <w:rPr>
                <w:rFonts w:ascii="宋体" w:hAnsi="宋体"/>
                <w:b/>
                <w:color w:val="000000" w:themeColor="text1"/>
                <w:szCs w:val="24"/>
              </w:rPr>
            </w:pPr>
            <w:r>
              <w:rPr>
                <w:rFonts w:hint="eastAsia" w:cs="Times New Roman"/>
                <w:kern w:val="2"/>
                <w:sz w:val="20"/>
                <w:szCs w:val="22"/>
                <w:lang w:val="en-US" w:eastAsia="zh-CN" w:bidi="ar-SA"/>
              </w:rPr>
              <w:t>单位产值能耗53.54kgce/万元</w:t>
            </w:r>
            <w:r>
              <w:rPr>
                <w:rFonts w:hint="eastAsia" w:ascii="Times New Roman" w:hAnsi="Times New Roman" w:eastAsia="宋体" w:cs="Times New Roman"/>
                <w:color w:val="FF0000"/>
                <w:kern w:val="2"/>
                <w:sz w:val="20"/>
                <w:szCs w:val="22"/>
                <w:lang w:val="en-US" w:eastAsia="zh-CN" w:bidi="ar-SA"/>
              </w:rPr>
              <w:t>。</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29" w:type="dxa"/>
            <w:vMerge w:val="continue"/>
            <w:vAlign w:val="top"/>
          </w:tcPr>
          <w:p>
            <w:pPr>
              <w:pStyle w:val="3"/>
              <w:spacing w:line="400" w:lineRule="exact"/>
              <w:ind w:firstLine="0" w:firstLineChars="0"/>
              <w:rPr>
                <w:sz w:val="20"/>
                <w:szCs w:val="22"/>
              </w:rPr>
            </w:pPr>
          </w:p>
        </w:tc>
        <w:tc>
          <w:tcPr>
            <w:tcW w:w="4377" w:type="dxa"/>
            <w:vAlign w:val="top"/>
          </w:tcPr>
          <w:p>
            <w:pPr>
              <w:rPr>
                <w:sz w:val="20"/>
                <w:szCs w:val="22"/>
              </w:rPr>
            </w:pPr>
            <w:r>
              <w:rPr>
                <w:rFonts w:hint="eastAsia"/>
                <w:b/>
                <w:bCs/>
                <w:sz w:val="20"/>
                <w:szCs w:val="22"/>
                <w:lang w:val="en-US" w:eastAsia="zh-CN"/>
              </w:rPr>
              <w:t>节能量（万吨标准煤）：</w:t>
            </w:r>
            <w:r>
              <w:rPr>
                <w:rFonts w:hint="eastAsia" w:ascii="Times New Roman" w:hAnsi="Times New Roman" w:eastAsia="宋体" w:cs="Times New Roman"/>
                <w:kern w:val="2"/>
                <w:sz w:val="20"/>
                <w:szCs w:val="22"/>
                <w:lang w:val="en-US" w:eastAsia="zh-CN" w:bidi="ar-SA"/>
              </w:rPr>
              <w:t>地方政府未下达节能量指标；</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29"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7</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27</w:t>
            </w:r>
            <w:r>
              <w:rPr>
                <w:rFonts w:hint="eastAsia"/>
                <w:sz w:val="20"/>
                <w:szCs w:val="22"/>
                <w:u w:val="single"/>
              </w:rPr>
              <w:t>~</w:t>
            </w:r>
            <w:r>
              <w:rPr>
                <w:rFonts w:hint="eastAsia"/>
                <w:sz w:val="20"/>
                <w:szCs w:val="22"/>
                <w:u w:val="single"/>
                <w:lang w:val="en-US" w:eastAsia="zh-CN"/>
              </w:rPr>
              <w:t>28</w:t>
            </w:r>
            <w:r>
              <w:rPr>
                <w:rFonts w:hint="eastAsia"/>
                <w:sz w:val="20"/>
                <w:szCs w:val="22"/>
              </w:rPr>
              <w:t>日</w:t>
            </w:r>
          </w:p>
        </w:tc>
        <w:tc>
          <w:tcPr>
            <w:tcW w:w="4377"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300" w:type="dxa"/>
            <w:vMerge w:val="restart"/>
          </w:tcPr>
          <w:p>
            <w:pPr>
              <w:pStyle w:val="3"/>
              <w:numPr>
                <w:ilvl w:val="0"/>
                <w:numId w:val="1"/>
              </w:numPr>
              <w:spacing w:line="40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浙江省台州市温岭市松门镇东南工业园区（海天名苑小区往东800米）/温岭市东部新区龙门大道5号的浙江泰福泵业股份有限公司。</w:t>
            </w:r>
          </w:p>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2、主要生产系统：生产部（包含：铝压铸车间，冲压车间，注塑车间，电泳车间，包装车间）。</w:t>
            </w:r>
          </w:p>
          <w:p>
            <w:pPr>
              <w:pStyle w:val="3"/>
              <w:spacing w:line="320" w:lineRule="exact"/>
              <w:ind w:firstLine="0"/>
              <w:rPr>
                <w:rFonts w:ascii="宋体" w:hAnsi="宋体"/>
                <w:b/>
                <w:color w:val="000000" w:themeColor="text1"/>
                <w:sz w:val="24"/>
                <w:szCs w:val="24"/>
              </w:rPr>
            </w:pPr>
            <w:r>
              <w:rPr>
                <w:rFonts w:hint="eastAsia" w:ascii="Times New Roman" w:hAnsi="Times New Roman" w:eastAsia="宋体" w:cs="Times New Roman"/>
                <w:sz w:val="20"/>
                <w:szCs w:val="22"/>
                <w:lang w:val="en-US" w:eastAsia="zh-CN"/>
              </w:rPr>
              <w:t>3、辅助生产系统：管理部、采购部、财务部、技术部。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9" w:type="dxa"/>
            <w:vMerge w:val="continue"/>
          </w:tcPr>
          <w:p>
            <w:pPr>
              <w:pStyle w:val="3"/>
              <w:spacing w:line="400" w:lineRule="exact"/>
              <w:ind w:firstLine="0"/>
              <w:rPr>
                <w:sz w:val="20"/>
                <w:szCs w:val="22"/>
              </w:rPr>
            </w:pPr>
          </w:p>
        </w:tc>
        <w:tc>
          <w:tcPr>
            <w:tcW w:w="4377" w:type="dxa"/>
          </w:tcPr>
          <w:p>
            <w:pPr>
              <w:pStyle w:val="3"/>
              <w:spacing w:line="320" w:lineRule="exact"/>
              <w:ind w:firstLine="0"/>
              <w:rPr>
                <w:rFonts w:hint="default" w:eastAsia="宋体"/>
                <w:b/>
                <w:bCs/>
                <w:sz w:val="20"/>
                <w:lang w:val="en-US" w:eastAsia="zh-CN"/>
              </w:rPr>
            </w:pPr>
            <w:r>
              <w:rPr>
                <w:rFonts w:hint="eastAsia"/>
                <w:b/>
                <w:bCs/>
                <w:sz w:val="20"/>
              </w:rPr>
              <w:t>产量：</w:t>
            </w:r>
            <w:r>
              <w:rPr>
                <w:rFonts w:hint="eastAsia" w:ascii="宋体" w:hAnsi="宋体" w:eastAsia="宋体" w:cs="宋体"/>
                <w:i w:val="0"/>
                <w:iCs w:val="0"/>
                <w:color w:val="000000"/>
                <w:kern w:val="0"/>
                <w:sz w:val="22"/>
                <w:szCs w:val="22"/>
                <w:u w:val="none"/>
                <w:lang w:val="en-US" w:eastAsia="zh-CN" w:bidi="ar"/>
              </w:rPr>
              <w:t>1987811台</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ascii="宋体" w:hAnsi="宋体" w:eastAsia="宋体" w:cs="宋体"/>
                <w:i w:val="0"/>
                <w:iCs w:val="0"/>
                <w:color w:val="000000"/>
                <w:kern w:val="0"/>
                <w:sz w:val="22"/>
                <w:szCs w:val="22"/>
                <w:u w:val="none"/>
                <w:lang w:val="en-US" w:eastAsia="zh-CN" w:bidi="ar"/>
              </w:rPr>
              <w:t>56316.9</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929" w:type="dxa"/>
            <w:vMerge w:val="continue"/>
          </w:tcPr>
          <w:p>
            <w:pPr>
              <w:pStyle w:val="3"/>
              <w:spacing w:line="400" w:lineRule="exact"/>
              <w:ind w:firstLine="0"/>
              <w:rPr>
                <w:sz w:val="20"/>
                <w:szCs w:val="22"/>
              </w:rPr>
            </w:pPr>
          </w:p>
        </w:tc>
        <w:tc>
          <w:tcPr>
            <w:tcW w:w="4377" w:type="dxa"/>
          </w:tcPr>
          <w:p>
            <w:pPr>
              <w:pStyle w:val="3"/>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宋体" w:hAnsi="宋体" w:eastAsia="宋体" w:cs="宋体"/>
                <w:i w:val="0"/>
                <w:iCs w:val="0"/>
                <w:color w:val="000000"/>
                <w:kern w:val="0"/>
                <w:sz w:val="22"/>
                <w:szCs w:val="22"/>
                <w:u w:val="none"/>
                <w:lang w:val="en-US" w:eastAsia="zh-CN" w:bidi="ar"/>
              </w:rPr>
              <w:t>3428.42654</w:t>
            </w:r>
          </w:p>
          <w:p>
            <w:pPr>
              <w:pStyle w:val="3"/>
              <w:spacing w:line="320" w:lineRule="exact"/>
              <w:ind w:firstLine="0"/>
              <w:rPr>
                <w:rFonts w:ascii="宋体" w:hAnsi="宋体"/>
                <w:b/>
                <w:color w:val="000000" w:themeColor="text1"/>
                <w:szCs w:val="24"/>
              </w:rPr>
            </w:pP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29" w:type="dxa"/>
            <w:vMerge w:val="continue"/>
          </w:tcPr>
          <w:p>
            <w:pPr>
              <w:pStyle w:val="3"/>
              <w:spacing w:line="400" w:lineRule="exact"/>
              <w:ind w:firstLine="0"/>
              <w:rPr>
                <w:sz w:val="20"/>
                <w:szCs w:val="22"/>
              </w:rPr>
            </w:pPr>
          </w:p>
        </w:tc>
        <w:tc>
          <w:tcPr>
            <w:tcW w:w="4377" w:type="dxa"/>
          </w:tcPr>
          <w:p>
            <w:pPr>
              <w:rPr>
                <w:rFonts w:hint="eastAsia"/>
                <w:b/>
                <w:bCs/>
                <w:sz w:val="20"/>
                <w:szCs w:val="22"/>
                <w:lang w:val="en-US" w:eastAsia="zh-CN"/>
              </w:rPr>
            </w:pPr>
            <w:r>
              <w:rPr>
                <w:rFonts w:hint="eastAsia"/>
                <w:b/>
                <w:bCs/>
                <w:sz w:val="20"/>
                <w:szCs w:val="22"/>
              </w:rPr>
              <w:t>单位能耗：</w:t>
            </w:r>
            <w:r>
              <w:rPr>
                <w:rFonts w:hint="eastAsia" w:ascii="宋体" w:hAnsi="宋体" w:eastAsia="宋体" w:cs="宋体"/>
                <w:i w:val="0"/>
                <w:iCs w:val="0"/>
                <w:color w:val="000000"/>
                <w:kern w:val="0"/>
                <w:sz w:val="22"/>
                <w:szCs w:val="22"/>
                <w:u w:val="none"/>
                <w:lang w:val="en-US" w:eastAsia="zh-CN" w:bidi="ar"/>
              </w:rPr>
              <w:t>单位产品能耗：1.72kgce/台</w:t>
            </w:r>
          </w:p>
          <w:p>
            <w:pPr>
              <w:rPr>
                <w:rFonts w:ascii="宋体" w:hAnsi="宋体"/>
                <w:b/>
                <w:color w:val="000000" w:themeColor="text1"/>
                <w:szCs w:val="24"/>
              </w:rPr>
            </w:pPr>
            <w:r>
              <w:rPr>
                <w:rFonts w:hint="eastAsia"/>
                <w:b/>
                <w:bCs/>
                <w:sz w:val="20"/>
                <w:szCs w:val="22"/>
                <w:lang w:val="en-US" w:eastAsia="zh-CN"/>
              </w:rPr>
              <w:t xml:space="preserve">          </w:t>
            </w:r>
            <w:r>
              <w:rPr>
                <w:rFonts w:hint="eastAsia" w:ascii="宋体" w:hAnsi="宋体" w:eastAsia="宋体" w:cs="宋体"/>
                <w:i w:val="0"/>
                <w:iCs w:val="0"/>
                <w:color w:val="000000"/>
                <w:kern w:val="0"/>
                <w:sz w:val="22"/>
                <w:szCs w:val="22"/>
                <w:u w:val="none"/>
                <w:lang w:val="en-US" w:eastAsia="zh-CN" w:bidi="ar"/>
              </w:rPr>
              <w:t>单位产值能耗：60.88kgce/万元。</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1929" w:type="dxa"/>
            <w:vMerge w:val="continue"/>
          </w:tcPr>
          <w:p>
            <w:pPr>
              <w:pStyle w:val="3"/>
              <w:spacing w:line="400" w:lineRule="exact"/>
              <w:ind w:firstLine="0"/>
              <w:rPr>
                <w:sz w:val="20"/>
                <w:szCs w:val="22"/>
              </w:rPr>
            </w:pPr>
          </w:p>
        </w:tc>
        <w:tc>
          <w:tcPr>
            <w:tcW w:w="4377" w:type="dxa"/>
          </w:tcPr>
          <w:p>
            <w:pPr>
              <w:rPr>
                <w:sz w:val="20"/>
                <w:szCs w:val="22"/>
              </w:rPr>
            </w:pPr>
            <w:r>
              <w:rPr>
                <w:rFonts w:hint="eastAsia"/>
                <w:b/>
                <w:bCs/>
                <w:sz w:val="20"/>
                <w:szCs w:val="22"/>
              </w:rPr>
              <w:t>节能量（吨标准煤）：</w:t>
            </w:r>
          </w:p>
          <w:p>
            <w:pPr>
              <w:rPr>
                <w:sz w:val="20"/>
                <w:szCs w:val="22"/>
              </w:rPr>
            </w:pP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29"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377"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300"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9" w:type="dxa"/>
            <w:vMerge w:val="continue"/>
          </w:tcPr>
          <w:p>
            <w:pPr>
              <w:pStyle w:val="3"/>
              <w:spacing w:line="400" w:lineRule="exact"/>
              <w:ind w:firstLine="0"/>
              <w:rPr>
                <w:sz w:val="20"/>
                <w:szCs w:val="22"/>
              </w:rPr>
            </w:pPr>
          </w:p>
        </w:tc>
        <w:tc>
          <w:tcPr>
            <w:tcW w:w="4377"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29" w:type="dxa"/>
            <w:vMerge w:val="continue"/>
          </w:tcPr>
          <w:p>
            <w:pPr>
              <w:pStyle w:val="3"/>
              <w:spacing w:line="400" w:lineRule="exact"/>
              <w:ind w:firstLine="0"/>
              <w:rPr>
                <w:sz w:val="20"/>
                <w:szCs w:val="22"/>
              </w:rPr>
            </w:pPr>
          </w:p>
        </w:tc>
        <w:tc>
          <w:tcPr>
            <w:tcW w:w="4377"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29" w:type="dxa"/>
            <w:vMerge w:val="continue"/>
          </w:tcPr>
          <w:p>
            <w:pPr>
              <w:pStyle w:val="3"/>
              <w:spacing w:line="400" w:lineRule="exact"/>
              <w:ind w:firstLine="0"/>
              <w:rPr>
                <w:sz w:val="20"/>
                <w:szCs w:val="22"/>
              </w:rPr>
            </w:pPr>
          </w:p>
        </w:tc>
        <w:tc>
          <w:tcPr>
            <w:tcW w:w="4377"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3300"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29" w:type="dxa"/>
            <w:vMerge w:val="continue"/>
          </w:tcPr>
          <w:p>
            <w:pPr>
              <w:pStyle w:val="3"/>
              <w:spacing w:line="400" w:lineRule="exact"/>
              <w:ind w:firstLine="0"/>
              <w:rPr>
                <w:sz w:val="20"/>
                <w:szCs w:val="22"/>
              </w:rPr>
            </w:pPr>
          </w:p>
        </w:tc>
        <w:tc>
          <w:tcPr>
            <w:tcW w:w="4377" w:type="dxa"/>
          </w:tcPr>
          <w:p>
            <w:pPr>
              <w:rPr>
                <w:sz w:val="20"/>
                <w:szCs w:val="22"/>
              </w:rPr>
            </w:pPr>
            <w:r>
              <w:rPr>
                <w:rFonts w:hint="eastAsia"/>
                <w:b/>
                <w:bCs/>
                <w:sz w:val="20"/>
                <w:szCs w:val="22"/>
              </w:rPr>
              <w:t>节能量（吨标准煤）：</w:t>
            </w:r>
          </w:p>
          <w:p>
            <w:pPr>
              <w:rPr>
                <w:sz w:val="20"/>
                <w:szCs w:val="22"/>
              </w:rPr>
            </w:pPr>
          </w:p>
        </w:tc>
        <w:tc>
          <w:tcPr>
            <w:tcW w:w="3300"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DD38B"/>
    <w:multiLevelType w:val="singleLevel"/>
    <w:tmpl w:val="2A2DD3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6158DE"/>
    <w:rsid w:val="72D50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10"/>
    <w:qFormat/>
    <w:uiPriority w:val="0"/>
    <w:pPr>
      <w:snapToGrid w:val="0"/>
      <w:spacing w:line="336" w:lineRule="auto"/>
      <w:ind w:firstLine="630"/>
    </w:pPr>
    <w:rPr>
      <w:sz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qFormat/>
    <w:uiPriority w:val="0"/>
    <w:rPr>
      <w:rFonts w:ascii="Times New Roman" w:hAnsi="Times New Roman" w:eastAsia="宋体" w:cs="Times New Roman"/>
      <w:sz w:val="32"/>
      <w:szCs w:val="20"/>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apple-converted-space"/>
    <w:basedOn w:val="9"/>
    <w:qFormat/>
    <w:uiPriority w:val="0"/>
  </w:style>
  <w:style w:type="paragraph" w:customStyle="1" w:styleId="15">
    <w:name w:val="Body 9pt Bold"/>
    <w:basedOn w:val="1"/>
    <w:qFormat/>
    <w:uiPriority w:val="0"/>
    <w:pPr>
      <w:ind w:left="170"/>
    </w:pPr>
    <w:rPr>
      <w:b/>
      <w:sz w:val="18"/>
    </w:rPr>
  </w:style>
  <w:style w:type="paragraph" w:customStyle="1" w:styleId="16">
    <w:name w:val="Body 8pt Feeder"/>
    <w:basedOn w:val="1"/>
    <w:next w:val="1"/>
    <w:qFormat/>
    <w:uiPriority w:val="0"/>
    <w:pPr>
      <w:spacing w:before="40" w:after="40"/>
      <w:ind w:left="284" w:right="284"/>
    </w:pPr>
    <w:rPr>
      <w:sz w:val="16"/>
    </w:rPr>
  </w:style>
  <w:style w:type="paragraph" w:customStyle="1" w:styleId="17">
    <w:name w:val="Body 7pt"/>
    <w:basedOn w:val="1"/>
    <w:qFormat/>
    <w:uiPriority w:val="0"/>
    <w:pPr>
      <w:spacing w:before="40" w:after="40"/>
      <w:jc w:val="left"/>
    </w:pPr>
    <w:rPr>
      <w:sz w:val="14"/>
    </w:rPr>
  </w:style>
  <w:style w:type="paragraph" w:customStyle="1" w:styleId="18">
    <w:name w:val="Body 9pt"/>
    <w:basedOn w:val="1"/>
    <w:qFormat/>
    <w:uiPriority w:val="0"/>
    <w:pPr>
      <w:spacing w:before="40" w:after="40"/>
    </w:pPr>
    <w:rPr>
      <w:sz w:val="18"/>
    </w:rPr>
  </w:style>
  <w:style w:type="paragraph" w:customStyle="1" w:styleId="19">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2022-07-27T07:54:42Z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