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7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43"/>
        <w:gridCol w:w="1207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28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036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湖北保宁科技有限公司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28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036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襄阳市高新区深圳工业园富康路东1号湖北中首科技有限公司3号厂房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28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036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襄阳市高新区深圳工业园富康路东1号湖北中首科技有限公司3号厂房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28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57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张笑笑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18062252227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2158148603@qq.com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285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571" w:type="dxa"/>
            <w:gridSpan w:val="3"/>
            <w:vAlign w:val="center"/>
          </w:tcPr>
          <w:p>
            <w:bookmarkStart w:id="6" w:name="最高管理者"/>
            <w:bookmarkEnd w:id="6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28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57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0834-2022-Q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285" w:type="dxa"/>
            <w:gridSpan w:val="2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036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285" w:type="dxa"/>
            <w:gridSpan w:val="2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036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8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036" w:type="dxa"/>
            <w:gridSpan w:val="12"/>
          </w:tcPr>
          <w:p>
            <w:pPr>
              <w:rPr>
                <w:rFonts w:hint="eastAsia" w:ascii="宋体" w:hAnsi="宋体" w:eastAsia="宋体"/>
                <w:b/>
                <w:bCs/>
                <w:sz w:val="20"/>
                <w:lang w:eastAsia="zh-CN"/>
              </w:rPr>
            </w:pPr>
            <w:bookmarkStart w:id="21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28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907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2" w:name="审核范围"/>
            <w:r>
              <w:rPr>
                <w:sz w:val="20"/>
              </w:rPr>
              <w:t>锌钢聚酯粉末喷涂型材的生产</w:t>
            </w:r>
            <w:bookmarkEnd w:id="22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3" w:name="专业代码"/>
            <w:r>
              <w:rPr>
                <w:sz w:val="20"/>
              </w:rPr>
              <w:t>17.02.00;17.10.01</w:t>
            </w:r>
            <w:bookmarkEnd w:id="2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28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036" w:type="dxa"/>
            <w:gridSpan w:val="12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  <w:lang w:val="en-US"/>
              </w:rPr>
            </w:pPr>
            <w:bookmarkStart w:id="24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 xml:space="preserve">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■适用于受审核方的法律法规及其他要求； ■认证合同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■受审核方管理体系文件 (手册版本号：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QM/01-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  <w:t>2022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 xml:space="preserve"> 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28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036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25" w:name="审核日期"/>
            <w:r>
              <w:rPr>
                <w:rFonts w:hint="eastAsia"/>
                <w:b/>
                <w:sz w:val="20"/>
              </w:rPr>
              <w:t>2022年07月16日 上午至2022年07月16日 下午</w:t>
            </w:r>
            <w:bookmarkEnd w:id="25"/>
            <w:r>
              <w:rPr>
                <w:rFonts w:hint="eastAsia"/>
                <w:b/>
                <w:sz w:val="20"/>
              </w:rPr>
              <w:t>(共</w:t>
            </w:r>
            <w:bookmarkStart w:id="26" w:name="审核天数"/>
            <w:r>
              <w:rPr>
                <w:rFonts w:hint="eastAsia"/>
                <w:b/>
                <w:sz w:val="20"/>
              </w:rPr>
              <w:t>1.0</w:t>
            </w:r>
            <w:bookmarkEnd w:id="26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28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036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周文廷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2022-N1QMS-2244880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17.02.00,17.10.01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13831886852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4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27" w:name="审核派遣人"/>
            <w:r>
              <w:rPr>
                <w:sz w:val="21"/>
                <w:szCs w:val="21"/>
              </w:rPr>
              <w:t>李凤娟</w:t>
            </w:r>
            <w:bookmarkEnd w:id="27"/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3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13831886852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3"/>
            <w:vAlign w:val="center"/>
          </w:tcPr>
          <w:p>
            <w:pPr>
              <w:spacing w:line="360" w:lineRule="auto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2022.7.15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2022.7.15</w:t>
            </w: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  <w:bookmarkStart w:id="28" w:name="_GoBack"/>
      <w:r>
        <w:drawing>
          <wp:inline distT="0" distB="0" distL="114300" distR="114300">
            <wp:extent cx="5509260" cy="7518400"/>
            <wp:effectExtent l="0" t="0" r="2540" b="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09260" cy="7518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28"/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tbl>
      <w:tblPr>
        <w:tblStyle w:val="7"/>
        <w:tblpPr w:leftFromText="180" w:rightFromText="180" w:vertAnchor="text" w:horzAnchor="page" w:tblpX="1052" w:tblpY="421"/>
        <w:tblOverlap w:val="never"/>
        <w:tblW w:w="10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1515"/>
        <w:gridCol w:w="1068"/>
        <w:gridCol w:w="3038"/>
        <w:gridCol w:w="2469"/>
        <w:gridCol w:w="12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20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979" w:type="dxa"/>
            <w:tcBorders>
              <w:left w:val="single" w:color="auto" w:sz="8" w:space="0"/>
            </w:tcBorders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日期</w:t>
            </w:r>
          </w:p>
        </w:tc>
        <w:tc>
          <w:tcPr>
            <w:tcW w:w="1515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时间</w:t>
            </w:r>
          </w:p>
        </w:tc>
        <w:tc>
          <w:tcPr>
            <w:tcW w:w="1068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部门</w:t>
            </w:r>
          </w:p>
        </w:tc>
        <w:tc>
          <w:tcPr>
            <w:tcW w:w="3038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过程</w:t>
            </w:r>
          </w:p>
        </w:tc>
        <w:tc>
          <w:tcPr>
            <w:tcW w:w="2469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979" w:type="dxa"/>
            <w:tcBorders>
              <w:left w:val="single" w:color="auto" w:sz="8" w:space="0"/>
            </w:tcBorders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07-16</w:t>
            </w:r>
          </w:p>
        </w:tc>
        <w:tc>
          <w:tcPr>
            <w:tcW w:w="1515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1068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3038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2469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1515" w:type="dxa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08: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0-8: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068" w:type="dxa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首次会议</w:t>
            </w:r>
          </w:p>
        </w:tc>
        <w:tc>
          <w:tcPr>
            <w:tcW w:w="2469" w:type="dxa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1515" w:type="dxa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08: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5-1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:00</w:t>
            </w:r>
          </w:p>
        </w:tc>
        <w:tc>
          <w:tcPr>
            <w:tcW w:w="1068" w:type="dxa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领导层</w:t>
            </w:r>
          </w:p>
        </w:tc>
        <w:tc>
          <w:tcPr>
            <w:tcW w:w="3038" w:type="dxa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（内外部因素、相关方的需求和期望、体系策划过程、管理承诺相关过程、资源提供过程、内外部沟通、管理评审过程、产品实现策划、顾客投诉处理、监视和测量规划和持续改进等）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对一阶段问题整改情况的确认；事故事件及起处理情况，质量情况等</w:t>
            </w:r>
          </w:p>
        </w:tc>
        <w:tc>
          <w:tcPr>
            <w:tcW w:w="2469" w:type="dxa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QMS：4.1/4.2/4.3/4.4/5.1/5.2/5.3/6.1/6.2/6.3/7.1.1/7.1.2/7.3/7.4/9.1.1/9.3/10.1/10.3</w:t>
            </w: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1515" w:type="dxa"/>
            <w:shd w:val="clear" w:color="auto" w:fill="F2DCDC" w:themeFill="accent2" w:themeFillTint="32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1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:00-1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:00</w:t>
            </w:r>
          </w:p>
        </w:tc>
        <w:tc>
          <w:tcPr>
            <w:tcW w:w="1068" w:type="dxa"/>
            <w:shd w:val="clear" w:color="auto" w:fill="F2DCDC" w:themeFill="accent2" w:themeFillTint="32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办公室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  <w:lang w:val="en-US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内部审核、管理评审、人员能力、意识、知识管理、文件/记录控制、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分析与评价等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2469" w:type="dxa"/>
            <w:shd w:val="clear" w:color="auto" w:fill="F2DCDC" w:themeFill="accent2" w:themeFillTint="32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5.3/6.2/7.1.2/7.1.6/7.2/7.3/7.4/7.5/9.1/9.2/10.2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审核员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1515" w:type="dxa"/>
            <w:shd w:val="clear" w:color="auto" w:fill="F2DCDC" w:themeFill="accent2" w:themeFillTint="32"/>
            <w:vAlign w:val="top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1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:00-1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:00</w:t>
            </w:r>
          </w:p>
        </w:tc>
        <w:tc>
          <w:tcPr>
            <w:tcW w:w="1068" w:type="dxa"/>
            <w:shd w:val="clear" w:color="auto" w:fill="F2DCDC" w:themeFill="accent2" w:themeFillTint="32"/>
            <w:vAlign w:val="top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业务部</w:t>
            </w:r>
          </w:p>
        </w:tc>
        <w:tc>
          <w:tcPr>
            <w:tcW w:w="3038" w:type="dxa"/>
            <w:shd w:val="clear" w:color="auto" w:fill="F2DCDC" w:themeFill="accent2" w:themeFillTint="32"/>
            <w:vAlign w:val="top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产品和服务的要求、原材料采购、供方的管理与控制、顾客满意度调查等（QMS）</w:t>
            </w:r>
          </w:p>
        </w:tc>
        <w:tc>
          <w:tcPr>
            <w:tcW w:w="2469" w:type="dxa"/>
            <w:shd w:val="clear" w:color="auto" w:fill="F2DCDC" w:themeFill="accent2" w:themeFillTint="32"/>
            <w:vAlign w:val="top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5.3/6.2/8.2/8.4/8.5.3/8.5.5/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9.1.2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  <w:vAlign w:val="top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审核员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  <w:vAlign w:val="top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1515" w:type="dxa"/>
            <w:shd w:val="clear" w:color="auto" w:fill="F2DCDC" w:themeFill="accent2" w:themeFillTint="32"/>
            <w:vAlign w:val="top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12:00-1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2:30</w:t>
            </w:r>
          </w:p>
        </w:tc>
        <w:tc>
          <w:tcPr>
            <w:tcW w:w="1068" w:type="dxa"/>
            <w:shd w:val="clear" w:color="auto" w:fill="F2DCDC" w:themeFill="accent2" w:themeFillTint="32"/>
            <w:vAlign w:val="top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休息</w:t>
            </w:r>
          </w:p>
        </w:tc>
        <w:tc>
          <w:tcPr>
            <w:tcW w:w="3038" w:type="dxa"/>
            <w:shd w:val="clear" w:color="auto" w:fill="F2DCDC" w:themeFill="accent2" w:themeFillTint="32"/>
            <w:vAlign w:val="top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2469" w:type="dxa"/>
            <w:shd w:val="clear" w:color="auto" w:fill="F2DCDC" w:themeFill="accent2" w:themeFillTint="32"/>
            <w:vAlign w:val="top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  <w:vAlign w:val="top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C7DAF1" w:themeFill="text2" w:themeFillTint="32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1515" w:type="dxa"/>
            <w:shd w:val="clear" w:color="auto" w:fill="C7DAF1" w:themeFill="text2" w:themeFillTint="32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12:30-15:00</w:t>
            </w:r>
          </w:p>
        </w:tc>
        <w:tc>
          <w:tcPr>
            <w:tcW w:w="1068" w:type="dxa"/>
            <w:shd w:val="clear" w:color="auto" w:fill="C7DAF1" w:themeFill="text2" w:themeFillTint="32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生产部</w:t>
            </w:r>
          </w:p>
        </w:tc>
        <w:tc>
          <w:tcPr>
            <w:tcW w:w="3038" w:type="dxa"/>
            <w:shd w:val="clear" w:color="auto" w:fill="C7DAF1" w:themeFill="text2" w:themeFillTint="32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基础设施管理、运行环境控制、运行的策划、过程控制、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不合格输出的控制等</w:t>
            </w:r>
          </w:p>
        </w:tc>
        <w:tc>
          <w:tcPr>
            <w:tcW w:w="2469" w:type="dxa"/>
            <w:shd w:val="clear" w:color="auto" w:fill="C7DAF1" w:themeFill="text2" w:themeFillTint="32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QMS: 5.3/6.2/7.1.3/7.1.4//8.1/8.5.1/8.5.2/8.5.4/8.5.6/8.7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C7DAF1" w:themeFill="text2" w:themeFillTint="32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C7DAF1" w:themeFill="text2" w:themeFillTint="32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1515" w:type="dxa"/>
            <w:shd w:val="clear" w:color="auto" w:fill="C7DAF1" w:themeFill="text2" w:themeFillTint="32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15:00-16:15</w:t>
            </w:r>
          </w:p>
        </w:tc>
        <w:tc>
          <w:tcPr>
            <w:tcW w:w="1068" w:type="dxa"/>
            <w:shd w:val="clear" w:color="auto" w:fill="C7DAF1" w:themeFill="text2" w:themeFillTint="32"/>
            <w:vAlign w:val="top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品质部</w:t>
            </w:r>
          </w:p>
        </w:tc>
        <w:tc>
          <w:tcPr>
            <w:tcW w:w="3038" w:type="dxa"/>
            <w:shd w:val="clear" w:color="auto" w:fill="C7DAF1" w:themeFill="text2" w:themeFillTint="32"/>
            <w:vAlign w:val="top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监视和测量资源的管理、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产品和服务的放行、不合格输出的控制等</w:t>
            </w:r>
          </w:p>
        </w:tc>
        <w:tc>
          <w:tcPr>
            <w:tcW w:w="2469" w:type="dxa"/>
            <w:shd w:val="clear" w:color="auto" w:fill="C7DAF1" w:themeFill="text2" w:themeFillTint="32"/>
            <w:vAlign w:val="top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QMS: 5.3/6.2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/7.1.5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/8.6/8.7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C7DAF1" w:themeFill="text2" w:themeFillTint="32"/>
            <w:vAlign w:val="top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1515" w:type="dxa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1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: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-1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: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0</w:t>
            </w:r>
          </w:p>
        </w:tc>
        <w:tc>
          <w:tcPr>
            <w:tcW w:w="1068" w:type="dxa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末次会议</w:t>
            </w:r>
          </w:p>
        </w:tc>
        <w:tc>
          <w:tcPr>
            <w:tcW w:w="2469" w:type="dxa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审核发现宣告</w:t>
            </w: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1515" w:type="dxa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1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: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0</w:t>
            </w:r>
          </w:p>
        </w:tc>
        <w:tc>
          <w:tcPr>
            <w:tcW w:w="1068" w:type="dxa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审核结束</w:t>
            </w:r>
          </w:p>
        </w:tc>
        <w:tc>
          <w:tcPr>
            <w:tcW w:w="2469" w:type="dxa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</w:tr>
    </w:tbl>
    <w:p/>
    <w:p>
      <w:pPr>
        <w:pStyle w:val="2"/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utch801 Rm BT">
    <w:altName w:val="Times New Roman"/>
    <w:panose1 w:val="02020603060505020304"/>
    <w:charset w:val="00"/>
    <w:family w:val="roman"/>
    <w:pitch w:val="default"/>
    <w:sig w:usb0="00000000" w:usb1="00000000" w:usb2="00000000" w:usb3="00000000" w:csb0="0000001B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静蕾简体">
    <w:altName w:val="宋体"/>
    <w:panose1 w:val="02000000000000000000"/>
    <w:charset w:val="86"/>
    <w:family w:val="auto"/>
    <w:pitch w:val="default"/>
    <w:sig w:usb0="00000000" w:usb1="00000000" w:usb2="00000010" w:usb3="00000000" w:csb0="00040000" w:csb1="00000000"/>
  </w:font>
  <w:font w:name="方正硬笔行书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E925A5B"/>
    <w:rsid w:val="3BFA53E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宋体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6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6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799</Words>
  <Characters>4556</Characters>
  <Lines>37</Lines>
  <Paragraphs>10</Paragraphs>
  <ScaleCrop>false</ScaleCrop>
  <LinksUpToDate>false</LinksUpToDate>
  <CharactersWithSpaces>5345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zwt</cp:lastModifiedBy>
  <dcterms:modified xsi:type="dcterms:W3CDTF">2022-07-16T05:49:23Z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2052-10.1.0.6875</vt:lpwstr>
  </property>
</Properties>
</file>