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8"/>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河北华西特种钢铁有限公司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bookmarkStart w:id="5" w:name="EnMS勾选"/>
            <w:r>
              <w:rPr>
                <w:rFonts w:hint="eastAsia"/>
                <w:b/>
                <w:szCs w:val="21"/>
              </w:rPr>
              <w:t>□</w:t>
            </w:r>
            <w:bookmarkEnd w:id="5"/>
            <w:r>
              <w:rPr>
                <w:b/>
                <w:spacing w:val="-2"/>
                <w:szCs w:val="21"/>
              </w:rPr>
              <w:t>E</w:t>
            </w:r>
            <w:r>
              <w:rPr>
                <w:rFonts w:hint="eastAsia"/>
                <w:b/>
                <w:spacing w:val="-2"/>
                <w:szCs w:val="21"/>
              </w:rPr>
              <w:t>n</w:t>
            </w:r>
            <w:r>
              <w:rPr>
                <w:b/>
                <w:spacing w:val="-2"/>
                <w:szCs w:val="21"/>
              </w:rPr>
              <w:t>MS</w:t>
            </w:r>
            <w:bookmarkStart w:id="6" w:name="F勾选"/>
            <w:r>
              <w:rPr>
                <w:rFonts w:hint="eastAsia" w:cs="宋体"/>
                <w:b/>
                <w:szCs w:val="21"/>
              </w:rPr>
              <w:t>□</w:t>
            </w:r>
            <w:bookmarkEnd w:id="6"/>
            <w:r>
              <w:rPr>
                <w:rFonts w:hint="eastAsia" w:ascii="宋体" w:hAnsi="宋体"/>
                <w:szCs w:val="21"/>
              </w:rPr>
              <w:t xml:space="preserve">FSMS </w:t>
            </w:r>
            <w:bookmarkStart w:id="7" w:name="H勾选"/>
            <w:r>
              <w:rPr>
                <w:rFonts w:hint="eastAsia" w:cs="宋体"/>
                <w:b/>
                <w:szCs w:val="21"/>
              </w:rPr>
              <w:t>□</w:t>
            </w:r>
            <w:bookmarkEnd w:id="7"/>
            <w:r>
              <w:rPr>
                <w:rFonts w:hint="eastAsia" w:ascii="宋体" w:hAnsi="宋体"/>
                <w:szCs w:val="21"/>
              </w:rPr>
              <w:t>HACCP</w:t>
            </w:r>
          </w:p>
          <w:p>
            <w:bookmarkStart w:id="8" w:name="初审"/>
            <w:r>
              <w:rPr>
                <w:rFonts w:hint="eastAsia"/>
                <w:b/>
                <w:szCs w:val="21"/>
              </w:rPr>
              <w:t>■</w:t>
            </w:r>
            <w:bookmarkEnd w:id="8"/>
            <w:r>
              <w:rPr>
                <w:rFonts w:hint="eastAsia"/>
                <w:b/>
                <w:szCs w:val="21"/>
              </w:rPr>
              <w:t xml:space="preserve">初审■第( </w:t>
            </w:r>
            <w:r>
              <w:rPr>
                <w:rFonts w:hint="eastAsia"/>
                <w:b/>
                <w:szCs w:val="21"/>
                <w:lang w:val="en-US" w:eastAsia="zh-CN"/>
              </w:rPr>
              <w:t>二</w:t>
            </w:r>
            <w:r>
              <w:rPr>
                <w:rFonts w:hint="eastAsia"/>
                <w:b/>
                <w:szCs w:val="21"/>
              </w:rPr>
              <w:t xml:space="preserve"> )阶段审核</w:t>
            </w:r>
            <w:bookmarkStart w:id="9" w:name="再认证勾选"/>
            <w:r>
              <w:rPr>
                <w:rFonts w:hint="eastAsia"/>
                <w:b/>
                <w:szCs w:val="21"/>
              </w:rPr>
              <w:t>□</w:t>
            </w:r>
            <w:bookmarkEnd w:id="9"/>
            <w:r>
              <w:rPr>
                <w:rFonts w:hint="eastAsia"/>
                <w:b/>
                <w:szCs w:val="21"/>
              </w:rPr>
              <w:t>再认证</w:t>
            </w:r>
            <w:bookmarkStart w:id="10" w:name="监督勾选"/>
            <w:r>
              <w:rPr>
                <w:rFonts w:hint="eastAsia"/>
                <w:b/>
                <w:szCs w:val="21"/>
              </w:rPr>
              <w:t>□</w:t>
            </w:r>
            <w:bookmarkEnd w:id="10"/>
            <w:r>
              <w:rPr>
                <w:rFonts w:hint="eastAsia"/>
                <w:b/>
                <w:szCs w:val="21"/>
              </w:rPr>
              <w:t>监督（</w:t>
            </w:r>
            <w:bookmarkStart w:id="11" w:name="监督次数"/>
            <w:bookmarkEnd w:id="11"/>
            <w:r>
              <w:rPr>
                <w:rFonts w:hint="eastAsia"/>
                <w:b/>
                <w:szCs w:val="21"/>
              </w:rPr>
              <w:t>）次□证书转换</w:t>
            </w:r>
            <w:bookmarkStart w:id="12" w:name="特殊审核勾选"/>
            <w:r>
              <w:rPr>
                <w:rFonts w:hint="eastAsia"/>
                <w:b/>
                <w:szCs w:val="21"/>
              </w:rPr>
              <w:t>□</w:t>
            </w:r>
            <w:bookmarkEnd w:id="12"/>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exact"/>
          <w:jc w:val="center"/>
        </w:trPr>
        <w:tc>
          <w:tcPr>
            <w:tcW w:w="900"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6990" w:type="dxa"/>
            <w:gridSpan w:val="2"/>
            <w:tcBorders>
              <w:left w:val="single" w:color="auto" w:sz="4" w:space="0"/>
              <w:right w:val="single" w:color="auto"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before="120" w:after="0"/>
              <w:textAlignment w:val="auto"/>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提供的能源计量器具台账未明确检定时间。</w:t>
            </w:r>
          </w:p>
          <w:p>
            <w:pPr>
              <w:jc w:val="center"/>
              <w:rPr>
                <w:rFonts w:ascii="方正仿宋简体" w:eastAsia="方正仿宋简体"/>
                <w:b/>
              </w:rPr>
            </w:pPr>
          </w:p>
        </w:tc>
        <w:tc>
          <w:tcPr>
            <w:tcW w:w="2033" w:type="dxa"/>
            <w:tcBorders>
              <w:left w:val="single" w:color="auto" w:sz="4" w:space="0"/>
            </w:tcBorders>
            <w:vAlign w:val="center"/>
          </w:tcPr>
          <w:p>
            <w:pPr>
              <w:jc w:val="center"/>
              <w:rPr>
                <w:rFonts w:hint="default" w:ascii="方正仿宋简体" w:eastAsia="方正仿宋简体"/>
                <w:b/>
                <w:lang w:val="en-US" w:eastAsia="zh-CN"/>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exact"/>
          <w:jc w:val="center"/>
        </w:trPr>
        <w:tc>
          <w:tcPr>
            <w:tcW w:w="900" w:type="dxa"/>
            <w:tcBorders>
              <w:right w:val="single" w:color="auto" w:sz="4" w:space="0"/>
            </w:tcBorders>
            <w:vAlign w:val="center"/>
          </w:tcPr>
          <w:p>
            <w:pPr>
              <w:rPr>
                <w:rFonts w:hint="eastAsia" w:eastAsia="宋体"/>
                <w:lang w:val="en-US" w:eastAsia="zh-CN"/>
              </w:rPr>
            </w:pPr>
            <w:r>
              <w:rPr>
                <w:rFonts w:hint="eastAsia"/>
                <w:lang w:val="en-US" w:eastAsia="zh-CN"/>
              </w:rPr>
              <w:t>2</w:t>
            </w:r>
          </w:p>
        </w:tc>
        <w:tc>
          <w:tcPr>
            <w:tcW w:w="6990" w:type="dxa"/>
            <w:gridSpan w:val="2"/>
            <w:tcBorders>
              <w:left w:val="single" w:color="auto" w:sz="4" w:space="0"/>
              <w:right w:val="single" w:color="auto" w:sz="4" w:space="0"/>
            </w:tcBorders>
            <w:vAlign w:val="center"/>
          </w:tcPr>
          <w:p>
            <w:r>
              <w:rPr>
                <w:rFonts w:hint="eastAsia"/>
                <w:lang w:val="en-US" w:eastAsia="zh-CN"/>
              </w:rPr>
              <w:t>环境因素识别与职责关联不够——生产管理部的职责是合理组织生产和优化生产</w:t>
            </w: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exact"/>
          <w:jc w:val="center"/>
        </w:trPr>
        <w:tc>
          <w:tcPr>
            <w:tcW w:w="900" w:type="dxa"/>
            <w:tcBorders>
              <w:right w:val="single" w:color="auto" w:sz="4" w:space="0"/>
            </w:tcBorders>
            <w:vAlign w:val="center"/>
          </w:tcPr>
          <w:p>
            <w:pPr>
              <w:rPr>
                <w:rFonts w:hint="eastAsia" w:eastAsia="宋体"/>
                <w:lang w:val="en-US" w:eastAsia="zh-CN"/>
              </w:rPr>
            </w:pPr>
            <w:r>
              <w:rPr>
                <w:rFonts w:hint="eastAsia"/>
                <w:lang w:val="en-US" w:eastAsia="zh-CN"/>
              </w:rPr>
              <w:t>3</w:t>
            </w:r>
          </w:p>
        </w:tc>
        <w:tc>
          <w:tcPr>
            <w:tcW w:w="6990" w:type="dxa"/>
            <w:gridSpan w:val="2"/>
            <w:tcBorders>
              <w:left w:val="single" w:color="auto" w:sz="4" w:space="0"/>
              <w:right w:val="single" w:color="auto" w:sz="4" w:space="0"/>
            </w:tcBorders>
            <w:vAlign w:val="center"/>
          </w:tcPr>
          <w:p>
            <w:pPr>
              <w:rPr>
                <w:rFonts w:hint="default" w:eastAsia="宋体"/>
                <w:lang w:val="en-US" w:eastAsia="zh-CN"/>
              </w:rPr>
            </w:pPr>
            <w:r>
              <w:rPr>
                <w:rFonts w:hint="eastAsia"/>
                <w:lang w:val="en-US" w:eastAsia="zh-CN"/>
              </w:rPr>
              <w:t>生产管理部的危险源辨识与风险评价表未识别在异常状态和紧急状态下的现场指挥产生的风险，控制措施：安全操作规程还应有应急预案</w:t>
            </w: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exact"/>
          <w:jc w:val="center"/>
        </w:trPr>
        <w:tc>
          <w:tcPr>
            <w:tcW w:w="900" w:type="dxa"/>
            <w:tcBorders>
              <w:right w:val="single" w:color="auto" w:sz="4" w:space="0"/>
            </w:tcBorders>
            <w:vAlign w:val="center"/>
          </w:tcPr>
          <w:p>
            <w:pPr>
              <w:rPr>
                <w:rFonts w:hint="eastAsia" w:eastAsia="宋体"/>
                <w:lang w:val="en-US" w:eastAsia="zh-CN"/>
              </w:rPr>
            </w:pPr>
            <w:r>
              <w:rPr>
                <w:rFonts w:hint="eastAsia"/>
                <w:lang w:val="en-US" w:eastAsia="zh-CN"/>
              </w:rPr>
              <w:t>4</w:t>
            </w:r>
          </w:p>
        </w:tc>
        <w:tc>
          <w:tcPr>
            <w:tcW w:w="6990" w:type="dxa"/>
            <w:gridSpan w:val="2"/>
            <w:tcBorders>
              <w:left w:val="single" w:color="auto" w:sz="4" w:space="0"/>
              <w:right w:val="single" w:color="auto" w:sz="4" w:space="0"/>
            </w:tcBorders>
            <w:vAlign w:val="center"/>
          </w:tcPr>
          <w:p>
            <w:pPr>
              <w:rPr>
                <w:rFonts w:hint="default" w:eastAsia="宋体"/>
                <w:lang w:val="en-US" w:eastAsia="zh-CN"/>
              </w:rPr>
            </w:pPr>
            <w:r>
              <w:rPr>
                <w:rFonts w:hint="eastAsia" w:eastAsia="宋体"/>
                <w:lang w:val="en-US" w:eastAsia="zh-CN"/>
              </w:rPr>
              <w:t>能源基准控制程序中6.1.6装备工程部、生产管理部、技术中心、质量管理部、采购部确定各自职责范围内的基准。</w:t>
            </w:r>
            <w:r>
              <w:rPr>
                <w:rFonts w:hint="eastAsia"/>
                <w:lang w:val="en-US" w:eastAsia="zh-CN"/>
              </w:rPr>
              <w:t>审核发现部门不清楚。</w:t>
            </w: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rPr>
                <w:rFonts w:hint="eastAsia" w:eastAsia="宋体"/>
                <w:lang w:val="en-US" w:eastAsia="zh-CN"/>
              </w:rPr>
            </w:pPr>
            <w:r>
              <w:rPr>
                <w:rFonts w:hint="eastAsia"/>
                <w:lang w:val="en-US" w:eastAsia="zh-CN"/>
              </w:rPr>
              <w:t>5</w:t>
            </w:r>
          </w:p>
        </w:tc>
        <w:tc>
          <w:tcPr>
            <w:tcW w:w="6990" w:type="dxa"/>
            <w:gridSpan w:val="2"/>
            <w:tcBorders>
              <w:left w:val="single" w:color="auto" w:sz="4" w:space="0"/>
              <w:right w:val="single" w:color="auto" w:sz="4" w:space="0"/>
            </w:tcBorders>
            <w:vAlign w:val="center"/>
          </w:tcPr>
          <w:p>
            <w:pPr>
              <w:rPr>
                <w:rFonts w:hint="default" w:ascii="Times New Roman" w:hAnsi="Times New Roman" w:eastAsia="宋体" w:cs="Times New Roman"/>
                <w:kern w:val="2"/>
                <w:sz w:val="21"/>
                <w:szCs w:val="24"/>
                <w:lang w:val="en-US" w:eastAsia="zh-CN" w:bidi="ar-SA"/>
              </w:rPr>
            </w:pPr>
            <w:r>
              <w:rPr>
                <w:rFonts w:hint="eastAsia"/>
                <w:lang w:eastAsia="zh-CN"/>
              </w:rPr>
              <w:t>未提供环境验收报告、消防验收备案、</w:t>
            </w:r>
            <w:r>
              <w:rPr>
                <w:rFonts w:hint="eastAsia"/>
                <w:lang w:val="en-US" w:eastAsia="zh-CN"/>
              </w:rPr>
              <w:t>安全验收相关证据</w:t>
            </w: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6" w:hRule="exact"/>
          <w:jc w:val="center"/>
        </w:trPr>
        <w:tc>
          <w:tcPr>
            <w:tcW w:w="900" w:type="dxa"/>
            <w:tcBorders>
              <w:right w:val="single" w:color="auto" w:sz="4" w:space="0"/>
            </w:tcBorders>
            <w:vAlign w:val="center"/>
          </w:tcPr>
          <w:p>
            <w:pPr>
              <w:rPr>
                <w:rFonts w:hint="default" w:eastAsia="宋体"/>
                <w:lang w:val="en-US" w:eastAsia="zh-CN"/>
              </w:rPr>
            </w:pPr>
            <w:r>
              <w:rPr>
                <w:rFonts w:hint="eastAsia"/>
                <w:lang w:val="en-US" w:eastAsia="zh-CN"/>
              </w:rPr>
              <w:t>6</w:t>
            </w:r>
          </w:p>
        </w:tc>
        <w:tc>
          <w:tcPr>
            <w:tcW w:w="6990" w:type="dxa"/>
            <w:gridSpan w:val="2"/>
            <w:tcBorders>
              <w:left w:val="single" w:color="auto" w:sz="4" w:space="0"/>
              <w:right w:val="single" w:color="auto" w:sz="4" w:space="0"/>
            </w:tcBorders>
            <w:vAlign w:val="center"/>
          </w:tcPr>
          <w:p>
            <w:pPr>
              <w:rPr>
                <w:rFonts w:hint="eastAsia"/>
                <w:lang w:eastAsia="zh-CN"/>
              </w:rPr>
            </w:pPr>
            <w:r>
              <w:rPr>
                <w:rFonts w:hint="eastAsia"/>
                <w:lang w:eastAsia="zh-CN"/>
              </w:rPr>
              <w:t xml:space="preserve">提供环境监测报告噪声排放符合要求，但炼铁厂环境目标“东、南、西厂界噪声符合昼间65db,夜间55db三类标准、 </w:t>
            </w:r>
          </w:p>
          <w:p>
            <w:pPr>
              <w:rPr>
                <w:rFonts w:hint="default" w:ascii="Times New Roman" w:hAnsi="Times New Roman" w:eastAsia="宋体" w:cs="Times New Roman"/>
                <w:kern w:val="2"/>
                <w:sz w:val="21"/>
                <w:szCs w:val="24"/>
                <w:lang w:val="en-US" w:eastAsia="zh-CN" w:bidi="ar-SA"/>
              </w:rPr>
            </w:pPr>
            <w:r>
              <w:rPr>
                <w:rFonts w:hint="eastAsia"/>
                <w:lang w:eastAsia="zh-CN"/>
              </w:rPr>
              <w:t>北厂界噪声符合昼间70db,夜间55db四类标准。”</w:t>
            </w:r>
            <w:r>
              <w:rPr>
                <w:rFonts w:hint="eastAsia"/>
                <w:lang w:val="en-US" w:eastAsia="zh-CN"/>
              </w:rPr>
              <w:t>22年1-6月份连续6个月目标考核未达标。也未见原因分析和措施，目标制定不合理？？</w:t>
            </w: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4" w:hRule="exact"/>
          <w:jc w:val="center"/>
        </w:trPr>
        <w:tc>
          <w:tcPr>
            <w:tcW w:w="900" w:type="dxa"/>
            <w:tcBorders>
              <w:right w:val="single" w:color="auto" w:sz="4" w:space="0"/>
            </w:tcBorders>
            <w:vAlign w:val="center"/>
          </w:tcPr>
          <w:p>
            <w:pPr>
              <w:jc w:val="center"/>
              <w:rPr>
                <w:rFonts w:hint="default"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7</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危废库进行地面维护，危废放置在外不适宜。剩余的实验室废液7桶只有一桶有危废标签。</w:t>
            </w:r>
          </w:p>
          <w:p>
            <w:pPr>
              <w:jc w:val="left"/>
              <w:rPr>
                <w:rFonts w:hint="default" w:ascii="Times New Roman" w:hAnsi="Times New Roman" w:eastAsia="宋体" w:cs="Times New Roman"/>
                <w:bCs w:val="0"/>
                <w:spacing w:val="0"/>
                <w:kern w:val="2"/>
                <w:sz w:val="21"/>
                <w:szCs w:val="24"/>
                <w:lang w:val="en-US" w:eastAsia="zh-CN" w:bidi="ar-SA"/>
              </w:rPr>
            </w:pP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5" w:hRule="exact"/>
          <w:jc w:val="center"/>
        </w:trPr>
        <w:tc>
          <w:tcPr>
            <w:tcW w:w="900" w:type="dxa"/>
            <w:tcBorders>
              <w:right w:val="single" w:color="auto" w:sz="4" w:space="0"/>
            </w:tcBorders>
            <w:vAlign w:val="center"/>
          </w:tcPr>
          <w:p>
            <w:pPr>
              <w:jc w:val="center"/>
              <w:rPr>
                <w:rFonts w:hint="default"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8</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综合办未制定“食品中毒应急预案”</w:t>
            </w: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9</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管理评审输入未按照标准的要求。需要补充相关内容</w:t>
            </w: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10</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销售合同中的钢号不完整Q235，实际应该是Q235A，否则涉嫌不满足GB/T 700的某些指标</w:t>
            </w: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exact"/>
          <w:jc w:val="center"/>
        </w:trPr>
        <w:tc>
          <w:tcPr>
            <w:tcW w:w="900" w:type="dxa"/>
            <w:tcBorders>
              <w:right w:val="single" w:color="auto" w:sz="4" w:space="0"/>
            </w:tcBorders>
            <w:vAlign w:val="center"/>
          </w:tcPr>
          <w:p>
            <w:pPr>
              <w:jc w:val="center"/>
              <w:rPr>
                <w:rFonts w:hint="default"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11</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内部审核比较笼统，审核记录没有具体的检查内容，某些不符合项原因分析不到位，需要进一步培训和完善</w:t>
            </w: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下次关注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exact"/>
          <w:jc w:val="center"/>
        </w:trPr>
        <w:tc>
          <w:tcPr>
            <w:tcW w:w="900" w:type="dxa"/>
            <w:tcBorders>
              <w:right w:val="single" w:color="auto" w:sz="4" w:space="0"/>
            </w:tcBorders>
            <w:vAlign w:val="center"/>
          </w:tcPr>
          <w:p>
            <w:pPr>
              <w:jc w:val="center"/>
              <w:rPr>
                <w:rFonts w:hint="default" w:ascii="Times New Roman" w:hAnsi="Times New Roman" w:eastAsia="宋体" w:cs="Times New Roman"/>
                <w:bCs w:val="0"/>
                <w:spacing w:val="0"/>
                <w:kern w:val="2"/>
                <w:sz w:val="21"/>
                <w:szCs w:val="24"/>
                <w:lang w:val="en-US" w:eastAsia="zh-CN" w:bidi="ar-SA"/>
              </w:rPr>
            </w:pPr>
            <w:r>
              <w:rPr>
                <w:rFonts w:hint="eastAsia" w:cs="Times New Roman"/>
                <w:bCs w:val="0"/>
                <w:spacing w:val="0"/>
                <w:kern w:val="2"/>
                <w:sz w:val="21"/>
                <w:szCs w:val="24"/>
                <w:lang w:val="en-US" w:eastAsia="zh-CN" w:bidi="ar-SA"/>
              </w:rPr>
              <w:t>12</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2022年1-3月份目标电耗指标未实现，2、3月份氮气消耗指标未完成，3月份氧气消耗指标未完成、2月份高炉煤气下好指标未完成，以上未完成的指标，组织未提供的原因分析</w:t>
            </w:r>
          </w:p>
        </w:tc>
        <w:tc>
          <w:tcPr>
            <w:tcW w:w="2033" w:type="dxa"/>
            <w:tcBorders>
              <w:left w:val="single" w:color="auto" w:sz="4" w:space="0"/>
            </w:tcBorders>
            <w:vAlign w:val="center"/>
          </w:tcPr>
          <w:p>
            <w:pPr>
              <w:jc w:val="center"/>
              <w:rPr>
                <w:rFonts w:hint="default" w:ascii="Times New Roman" w:hAnsi="Times New Roman" w:eastAsia="宋体" w:cs="Times New Roman"/>
                <w:bCs w:val="0"/>
                <w:spacing w:val="0"/>
                <w:kern w:val="2"/>
                <w:sz w:val="21"/>
                <w:szCs w:val="24"/>
                <w:lang w:val="en-US" w:eastAsia="zh-CN" w:bidi="ar-SA"/>
              </w:rPr>
            </w:pPr>
            <w:r>
              <w:rPr>
                <w:rFonts w:hint="eastAsia" w:cs="Times New Roman"/>
                <w:bCs w:val="0"/>
                <w:spacing w:val="0"/>
                <w:kern w:val="2"/>
                <w:sz w:val="21"/>
                <w:szCs w:val="24"/>
                <w:lang w:val="en-US" w:eastAsia="zh-CN" w:bidi="ar-SA"/>
              </w:rPr>
              <w:t>下次关注</w:t>
            </w:r>
            <w:bookmarkStart w:id="13" w:name="_GoBack"/>
            <w:bookmarkEnd w:id="13"/>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p>
        </w:tc>
        <w:tc>
          <w:tcPr>
            <w:tcW w:w="6990" w:type="dxa"/>
            <w:gridSpan w:val="2"/>
            <w:tcBorders>
              <w:left w:val="single" w:color="auto" w:sz="4" w:space="0"/>
              <w:righ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p>
        </w:tc>
        <w:tc>
          <w:tcPr>
            <w:tcW w:w="2033" w:type="dxa"/>
            <w:tcBorders>
              <w:left w:val="single" w:color="auto" w:sz="4" w:space="0"/>
            </w:tcBorders>
            <w:vAlign w:val="center"/>
          </w:tcPr>
          <w:p>
            <w:pPr>
              <w:jc w:val="center"/>
              <w:rPr>
                <w:rFonts w:hint="eastAsia" w:ascii="Times New Roman" w:hAnsi="Times New Roman" w:eastAsia="宋体" w:cs="Times New Roman"/>
                <w:bCs w:val="0"/>
                <w:spacing w:val="0"/>
                <w:kern w:val="2"/>
                <w:sz w:val="21"/>
                <w:szCs w:val="24"/>
                <w:lang w:val="en-US" w:eastAsia="zh-CN" w:bidi="ar-SA"/>
              </w:rPr>
            </w:pPr>
          </w:p>
        </w:tc>
      </w:tr>
    </w:tbl>
    <w:p>
      <w:pPr>
        <w:jc w:val="center"/>
        <w:rPr>
          <w:rFonts w:hint="eastAsia" w:ascii="Times New Roman" w:hAnsi="Times New Roman" w:eastAsia="宋体" w:cs="Times New Roman"/>
          <w:bCs w:val="0"/>
          <w:spacing w:val="0"/>
          <w:kern w:val="2"/>
          <w:sz w:val="21"/>
          <w:szCs w:val="24"/>
          <w:lang w:val="en-US" w:eastAsia="zh-CN" w:bidi="ar-SA"/>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sz w:val="18"/>
      </w:rPr>
    </w:pPr>
    <w:r>
      <w:drawing>
        <wp:anchor distT="0" distB="0" distL="114300" distR="114300" simplePos="0" relativeHeight="251660288"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5003800</wp:posOffset>
              </wp:positionH>
              <wp:positionV relativeFrom="paragraph">
                <wp:posOffset>144145</wp:posOffset>
              </wp:positionV>
              <wp:extent cx="1216025" cy="252730"/>
              <wp:effectExtent l="0" t="0" r="3175" b="1270"/>
              <wp:wrapNone/>
              <wp:docPr id="1" name="文本框 1025"/>
              <wp:cNvGraphicFramePr/>
              <a:graphic xmlns:a="http://schemas.openxmlformats.org/drawingml/2006/main">
                <a:graphicData uri="http://schemas.microsoft.com/office/word/2010/wordprocessingShape">
                  <wps:wsp>
                    <wps:cNvSpPr txBox="1"/>
                    <wps:spPr>
                      <a:xfrm>
                        <a:off x="0" y="0"/>
                        <a:ext cx="1216025" cy="252730"/>
                      </a:xfrm>
                      <a:prstGeom prst="rect">
                        <a:avLst/>
                      </a:prstGeom>
                      <a:solidFill>
                        <a:srgbClr val="FFFFFF"/>
                      </a:solidFill>
                      <a:ln>
                        <a:noFill/>
                      </a:ln>
                    </wps:spPr>
                    <wps:txbx>
                      <w:txbxContent>
                        <w:p>
                          <w:pPr>
                            <w:rPr>
                              <w:sz w:val="18"/>
                              <w:szCs w:val="18"/>
                            </w:rPr>
                          </w:pPr>
                          <w:r>
                            <w:rPr>
                              <w:rFonts w:hint="eastAsia"/>
                              <w:sz w:val="18"/>
                              <w:szCs w:val="18"/>
                            </w:rPr>
                            <w:t>ISC-B-II-18(05版）</w:t>
                          </w:r>
                        </w:p>
                      </w:txbxContent>
                    </wps:txbx>
                    <wps:bodyPr upright="1"/>
                  </wps:wsp>
                </a:graphicData>
              </a:graphic>
            </wp:anchor>
          </w:drawing>
        </mc:Choice>
        <mc:Fallback>
          <w:pict>
            <v:shape id="文本框 1025" o:spid="_x0000_s1026" o:spt="202" type="#_x0000_t202" style="position:absolute;left:0pt;margin-left:394pt;margin-top:11.35pt;height:19.9pt;width:95.75pt;z-index:251659264;mso-width-relative:page;mso-height-relative:page;" fillcolor="#FFFFFF" filled="t" stroked="f" coordsize="21600,21600" o:gfxdata="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SvXeR1wAAAAkBAAAPAAAAAAAAAAEAIAAAACIAAABkcnMvZG93bnJldi54&#10;bWxQSwECFAAUAAAACACHTuJAf7PXbcIBAAB6AwAADgAAAAAAAAABACAAAAAmAQAAZHJzL2Uyb0Rv&#10;Yy54bWxQSwUGAAAAAAYABgBZAQAAWgUAAAAA&#10;">
              <v:fill on="t" focussize="0,0"/>
              <v:stroke on="f"/>
              <v:imagedata o:title=""/>
              <o:lock v:ext="edit" aspectratio="f"/>
              <v:textbox>
                <w:txbxContent>
                  <w:p>
                    <w:pPr>
                      <w:rPr>
                        <w:sz w:val="18"/>
                        <w:szCs w:val="18"/>
                      </w:rPr>
                    </w:pPr>
                    <w:r>
                      <w:rPr>
                        <w:rFonts w:hint="eastAsia"/>
                        <w:sz w:val="18"/>
                        <w:szCs w:val="18"/>
                      </w:rPr>
                      <w:t>ISC-B-II-18(05版）</w:t>
                    </w:r>
                  </w:p>
                </w:txbxContent>
              </v:textbox>
            </v:shape>
          </w:pict>
        </mc:Fallback>
      </mc:AlternateContent>
    </w:r>
    <w:r>
      <w:rPr>
        <w:rStyle w:val="12"/>
        <w:rFonts w:hint="default"/>
        <w:sz w:val="18"/>
      </w:rPr>
      <w:t>北京国标联合认证有限公司</w:t>
    </w:r>
    <w:r>
      <w:rPr>
        <w:rStyle w:val="12"/>
        <w:rFonts w:hint="default"/>
        <w:sz w:val="18"/>
      </w:rPr>
      <w:tab/>
    </w:r>
    <w:r>
      <w:rPr>
        <w:rStyle w:val="12"/>
        <w:rFonts w:hint="default"/>
        <w:sz w:val="18"/>
      </w:rPr>
      <w:tab/>
    </w:r>
    <w:r>
      <w:rPr>
        <w:rStyle w:val="12"/>
        <w:rFonts w:hint="default"/>
        <w:sz w:val="18"/>
      </w:rPr>
      <w:tab/>
    </w:r>
  </w:p>
  <w:p>
    <w:pPr>
      <w:pStyle w:val="6"/>
      <w:pBdr>
        <w:bottom w:val="single" w:color="auto" w:sz="4" w:space="1"/>
      </w:pBdr>
      <w:spacing w:line="320" w:lineRule="exact"/>
      <w:ind w:firstLine="727" w:firstLineChars="449"/>
      <w:jc w:val="left"/>
    </w:pPr>
    <w:r>
      <w:rPr>
        <w:rStyle w:val="12"/>
        <w:rFonts w:hint="default"/>
        <w:w w:val="90"/>
        <w:sz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0CDA30"/>
    <w:multiLevelType w:val="singleLevel"/>
    <w:tmpl w:val="FA0CDA30"/>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2706"/>
    <w:rsid w:val="137B09E5"/>
    <w:rsid w:val="184D2EDC"/>
    <w:rsid w:val="189E1C03"/>
    <w:rsid w:val="1CEB326A"/>
    <w:rsid w:val="208D2FFB"/>
    <w:rsid w:val="22457E73"/>
    <w:rsid w:val="22796345"/>
    <w:rsid w:val="249F42AB"/>
    <w:rsid w:val="252619F3"/>
    <w:rsid w:val="2BE6255C"/>
    <w:rsid w:val="2E927328"/>
    <w:rsid w:val="3B087498"/>
    <w:rsid w:val="40A11D0E"/>
    <w:rsid w:val="48643D4D"/>
    <w:rsid w:val="4C3E48B5"/>
    <w:rsid w:val="4F78331F"/>
    <w:rsid w:val="559A7000"/>
    <w:rsid w:val="5C0A36D8"/>
    <w:rsid w:val="5DDA39CF"/>
    <w:rsid w:val="657E1748"/>
    <w:rsid w:val="67FD51CC"/>
    <w:rsid w:val="6C155152"/>
    <w:rsid w:val="6C47392F"/>
    <w:rsid w:val="7BC82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rPr>
  </w:style>
  <w:style w:type="paragraph" w:styleId="3">
    <w:name w:val="Body Text"/>
    <w:basedOn w:val="1"/>
    <w:next w:val="4"/>
    <w:qFormat/>
    <w:uiPriority w:val="1"/>
    <w:pPr>
      <w:ind w:left="137"/>
    </w:pPr>
    <w:rPr>
      <w:rFonts w:ascii="宋体" w:hAnsi="宋体"/>
      <w:sz w:val="20"/>
    </w:rPr>
  </w:style>
  <w:style w:type="paragraph" w:styleId="4">
    <w:name w:val="List Bullet 5"/>
    <w:basedOn w:val="1"/>
    <w:semiHidden/>
    <w:unhideWhenUsed/>
    <w:qFormat/>
    <w:uiPriority w:val="99"/>
    <w:pPr>
      <w:numPr>
        <w:ilvl w:val="0"/>
        <w:numId w:val="1"/>
      </w:numPr>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imes New Roman" w:hAnsi="Times New Roman" w:eastAsia="宋体" w:cs="Times New Roman"/>
      <w:kern w:val="2"/>
      <w:sz w:val="18"/>
      <w:szCs w:val="18"/>
    </w:rPr>
  </w:style>
  <w:style w:type="character" w:customStyle="1" w:styleId="11">
    <w:name w:val="页脚 Char"/>
    <w:basedOn w:val="9"/>
    <w:link w:val="5"/>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Words>
  <Characters>165</Characters>
  <Lines>1</Lines>
  <Paragraphs>1</Paragraphs>
  <TotalTime>0</TotalTime>
  <ScaleCrop>false</ScaleCrop>
  <LinksUpToDate>false</LinksUpToDate>
  <CharactersWithSpaces>192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丽英</cp:lastModifiedBy>
  <dcterms:modified xsi:type="dcterms:W3CDTF">2022-07-17T00:20:44Z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2052-11.1.0.10314</vt:lpwstr>
  </property>
</Properties>
</file>