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黑龙江佳和市政工程有限公司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黑龙江佳和市政工程有限公司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哈尔滨市松北区祥安北大街1377号欧美亚阳光家园BH28号楼03号</w:t>
            </w:r>
            <w:bookmarkEnd w:id="6"/>
          </w:p>
        </w:tc>
        <w:tc>
          <w:tcPr>
            <w:tcW w:w="1242" w:type="dxa"/>
            <w:vMerge w:val="restart"/>
            <w:vAlign w:val="center"/>
          </w:tcPr>
          <w:p>
            <w:r>
              <w:rPr>
                <w:rFonts w:hint="eastAsia"/>
              </w:rPr>
              <w:t>邮编</w:t>
            </w:r>
          </w:p>
        </w:tc>
        <w:tc>
          <w:tcPr>
            <w:tcW w:w="1771" w:type="dxa"/>
          </w:tcPr>
          <w:p>
            <w:bookmarkStart w:id="7" w:name="注册邮编"/>
            <w:r>
              <w:t>150000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哈尔滨市道外区南直路345号C3栋5单元1层2号</w:t>
            </w:r>
            <w:bookmarkEnd w:id="8"/>
          </w:p>
        </w:tc>
        <w:tc>
          <w:tcPr>
            <w:tcW w:w="1242" w:type="dxa"/>
            <w:vMerge w:val="continue"/>
            <w:vAlign w:val="center"/>
          </w:tcPr>
          <w:p/>
        </w:tc>
        <w:tc>
          <w:tcPr>
            <w:tcW w:w="1771" w:type="dxa"/>
          </w:tcPr>
          <w:p>
            <w:bookmarkStart w:id="9" w:name="办公邮编"/>
            <w:r>
              <w:t>150000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裴丽丽</w:t>
            </w:r>
            <w:bookmarkEnd w:id="10"/>
          </w:p>
        </w:tc>
        <w:tc>
          <w:tcPr>
            <w:tcW w:w="1313" w:type="dxa"/>
            <w:vAlign w:val="center"/>
          </w:tcPr>
          <w:p>
            <w:r>
              <w:rPr>
                <w:rFonts w:hint="eastAsia"/>
              </w:rPr>
              <w:t>电话.</w:t>
            </w:r>
          </w:p>
        </w:tc>
        <w:tc>
          <w:tcPr>
            <w:tcW w:w="2180" w:type="dxa"/>
            <w:vAlign w:val="center"/>
          </w:tcPr>
          <w:p>
            <w:bookmarkStart w:id="11" w:name="联系人电话"/>
            <w:r>
              <w:t>13115603853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高香国</w:t>
            </w:r>
            <w:bookmarkEnd w:id="13"/>
          </w:p>
        </w:tc>
        <w:tc>
          <w:tcPr>
            <w:tcW w:w="1313" w:type="dxa"/>
            <w:vAlign w:val="center"/>
          </w:tcPr>
          <w:p>
            <w:r>
              <w:rPr>
                <w:rFonts w:hint="eastAsia"/>
              </w:rPr>
              <w:t>管理者代表</w:t>
            </w:r>
          </w:p>
        </w:tc>
        <w:tc>
          <w:tcPr>
            <w:tcW w:w="2180" w:type="dxa"/>
          </w:tcPr>
          <w:p>
            <w:bookmarkStart w:id="14" w:name="管理者代表"/>
            <w:r>
              <w:t>裴丽丽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合同签订—施工方案拟定—清理平整场地—放线定点—苗木种植—竣工验收--后续维护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2022年07月14日 上午至2022年07月14日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哈尔滨市道外区南直路345号C3栋5单元1层2号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Q：园林绿化景观工程</w:t>
            </w:r>
          </w:p>
          <w:p>
            <w:r>
              <w:t>E：园林绿化景观工程所涉及场所的相关环境管理活动</w:t>
            </w:r>
          </w:p>
          <w:p>
            <w:r>
              <w:t>O：园林绿化景观工程所涉及场所的相关职业健康安全管理活动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Q：35.17.00</w:t>
            </w:r>
          </w:p>
          <w:p>
            <w:r>
              <w:t>E：35.17.00</w:t>
            </w:r>
          </w:p>
          <w:p>
            <w:r>
              <w:t>O：35.17.00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2020年8月10日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2021年07月15日 下午至2021年07月18日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74"/>
        <w:gridCol w:w="189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74" w:type="dxa"/>
            <w:shd w:val="clear" w:color="auto" w:fill="F3F3F3"/>
            <w:tcMar>
              <w:left w:w="57" w:type="dxa"/>
              <w:right w:w="57" w:type="dxa"/>
            </w:tcMar>
          </w:tcPr>
          <w:p>
            <w:r>
              <w:rPr>
                <w:rFonts w:hint="eastAsia"/>
              </w:rPr>
              <w:t>审核范围（产品和过程）</w:t>
            </w:r>
          </w:p>
          <w:p/>
          <w:p/>
        </w:tc>
        <w:tc>
          <w:tcPr>
            <w:tcW w:w="189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cs="Times New Roman" w:asciiTheme="minorEastAsia" w:hAnsiTheme="minorEastAsia" w:eastAsiaTheme="minorEastAsia"/>
                <w:sz w:val="20"/>
                <w:lang w:val="de-DE" w:eastAsia="ja-JP"/>
              </w:rPr>
              <w:t>黑龙江佳和市政工程有限公司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哈尔滨市松北区祥安北大街1377号欧美亚阳光家园BH28号楼03号</w:t>
            </w:r>
          </w:p>
        </w:tc>
        <w:tc>
          <w:tcPr>
            <w:tcW w:w="2267" w:type="dxa"/>
          </w:tcPr>
          <w:p>
            <w:pPr>
              <w:rPr>
                <w:lang w:val="de-DE" w:eastAsia="ja-JP"/>
              </w:rPr>
            </w:pPr>
            <w:r>
              <w:rPr>
                <w:rFonts w:hint="eastAsia" w:cs="Times New Roman" w:asciiTheme="minorEastAsia" w:hAnsiTheme="minorEastAsia" w:eastAsiaTheme="minorEastAsia"/>
                <w:sz w:val="20"/>
                <w:lang w:val="de-DE" w:eastAsia="ja-JP"/>
              </w:rPr>
              <w:t>哈尔滨市道外区南直路345号C3栋5单元1层2号</w:t>
            </w:r>
          </w:p>
        </w:tc>
        <w:tc>
          <w:tcPr>
            <w:tcW w:w="571" w:type="dxa"/>
            <w:vAlign w:val="center"/>
          </w:tcPr>
          <w:p>
            <w:pPr>
              <w:rPr>
                <w:rFonts w:hint="default" w:eastAsia="宋体"/>
                <w:lang w:val="en-US" w:eastAsia="zh-CN"/>
              </w:rPr>
            </w:pPr>
            <w:r>
              <w:rPr>
                <w:rFonts w:hint="eastAsia"/>
                <w:lang w:val="en-US" w:eastAsia="zh-CN"/>
              </w:rPr>
              <w:t>22</w:t>
            </w:r>
          </w:p>
        </w:tc>
        <w:tc>
          <w:tcPr>
            <w:tcW w:w="1574" w:type="dxa"/>
            <w:vAlign w:val="center"/>
          </w:tcPr>
          <w:p>
            <w:pPr>
              <w:rPr>
                <w:lang w:eastAsia="ja-JP"/>
              </w:rPr>
            </w:pPr>
            <w:r>
              <w:rPr>
                <w:sz w:val="20"/>
              </w:rPr>
              <w:t>园林绿化景观工程</w:t>
            </w:r>
          </w:p>
        </w:tc>
        <w:tc>
          <w:tcPr>
            <w:tcW w:w="1898" w:type="dxa"/>
            <w:vAlign w:val="center"/>
          </w:tcPr>
          <w:p>
            <w:pPr>
              <w:rPr>
                <w:rFonts w:hint="eastAsia"/>
                <w:lang w:eastAsia="ja-JP"/>
              </w:rPr>
            </w:pPr>
            <w:r>
              <w:rPr>
                <w:rFonts w:hint="eastAsia"/>
                <w:lang w:eastAsia="ja-JP"/>
              </w:rPr>
              <w:t>GB/T19001-2016</w:t>
            </w:r>
          </w:p>
          <w:p>
            <w:pPr>
              <w:pStyle w:val="2"/>
              <w:rPr>
                <w:rFonts w:hint="eastAsia"/>
                <w:lang w:eastAsia="ja-JP"/>
              </w:rPr>
            </w:pPr>
            <w:r>
              <w:rPr>
                <w:rFonts w:hint="eastAsia"/>
                <w:lang w:eastAsia="ja-JP"/>
              </w:rPr>
              <w:t>GB/T24001-2016</w:t>
            </w:r>
          </w:p>
          <w:p>
            <w:pPr>
              <w:pStyle w:val="2"/>
              <w:rPr>
                <w:rFonts w:hint="eastAsia"/>
                <w:lang w:eastAsia="ja-JP"/>
              </w:rPr>
            </w:pPr>
            <w:r>
              <w:rPr>
                <w:rFonts w:hint="eastAsia"/>
                <w:lang w:eastAsia="ja-JP"/>
              </w:rPr>
              <w:t>GB/T45001-2020</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74" w:type="dxa"/>
            <w:vAlign w:val="center"/>
          </w:tcPr>
          <w:p>
            <w:pPr>
              <w:rPr>
                <w:lang w:eastAsia="ja-JP"/>
              </w:rPr>
            </w:pPr>
          </w:p>
        </w:tc>
        <w:tc>
          <w:tcPr>
            <w:tcW w:w="189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74" w:type="dxa"/>
            <w:vAlign w:val="center"/>
          </w:tcPr>
          <w:p>
            <w:pPr>
              <w:rPr>
                <w:lang w:eastAsia="ja-JP"/>
              </w:rPr>
            </w:pPr>
          </w:p>
        </w:tc>
        <w:tc>
          <w:tcPr>
            <w:tcW w:w="189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74" w:type="dxa"/>
            <w:vAlign w:val="center"/>
          </w:tcPr>
          <w:p>
            <w:pPr>
              <w:rPr>
                <w:lang w:eastAsia="ja-JP"/>
              </w:rPr>
            </w:pPr>
          </w:p>
        </w:tc>
        <w:tc>
          <w:tcPr>
            <w:tcW w:w="189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74" w:type="dxa"/>
            <w:vAlign w:val="center"/>
          </w:tcPr>
          <w:p>
            <w:pPr>
              <w:rPr>
                <w:lang w:eastAsia="ja-JP"/>
              </w:rPr>
            </w:pPr>
          </w:p>
        </w:tc>
        <w:tc>
          <w:tcPr>
            <w:tcW w:w="189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Q:35.17.00</w:t>
            </w:r>
          </w:p>
          <w:p>
            <w:r>
              <w:t>E:35.17.00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体系人数由13人变更为22人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上次不符合为工程部</w:t>
            </w:r>
            <w:r>
              <w:rPr>
                <w:rFonts w:hint="eastAsia"/>
                <w:lang w:val="en-US" w:eastAsia="zh-CN"/>
              </w:rPr>
              <w:t>Q7.1.5，</w:t>
            </w:r>
            <w:r>
              <w:rPr>
                <w:rFonts w:hint="eastAsia"/>
                <w:lang w:eastAsia="zh-CN"/>
              </w:rPr>
              <w:t>整改已完成。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rPr>
        <w:t>十二、不符</w:t>
      </w:r>
      <w:r>
        <w:rPr>
          <w:rFonts w:hint="eastAsia"/>
          <w:highlight w:val="none"/>
        </w:rPr>
        <w:t>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园林绿化景观工程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园林绿化景观工程所涉及场所的相关环境管理活动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园林绿化景观工程所涉及场所的相关职业健康安全管理活动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254000</wp:posOffset>
                  </wp:positionH>
                  <wp:positionV relativeFrom="paragraph">
                    <wp:posOffset>48260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2022.7.14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最高管理者制定了文件化的管理体系方针：诚信为本、质量第一、信誉至上、争创一流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eastAsia="zh-CN"/>
                    </w:rPr>
                    <w:t>客户满意度≥90分</w:t>
                  </w:r>
                </w:p>
              </w:tc>
              <w:tc>
                <w:tcPr>
                  <w:tcW w:w="3136" w:type="dxa"/>
                  <w:shd w:val="clear" w:color="auto" w:fill="auto"/>
                  <w:vAlign w:val="center"/>
                </w:tcPr>
                <w:p>
                  <w:pPr>
                    <w:shd w:val="clear" w:color="auto" w:fill="C7DAF1" w:themeFill="text2" w:themeFillTint="32"/>
                    <w:rPr>
                      <w:rFonts w:hint="eastAsia" w:ascii="宋体" w:hAnsi="宋体"/>
                      <w:sz w:val="21"/>
                      <w:szCs w:val="21"/>
                      <w:lang w:val="en-GB" w:eastAsia="zh-CN"/>
                    </w:rPr>
                  </w:pPr>
                  <w:r>
                    <w:rPr>
                      <w:rFonts w:hint="eastAsia" w:ascii="宋体" w:hAnsi="宋体"/>
                      <w:sz w:val="21"/>
                      <w:szCs w:val="21"/>
                      <w:lang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eastAsia" w:ascii="宋体" w:hAnsi="宋体"/>
                      <w:sz w:val="21"/>
                      <w:szCs w:val="21"/>
                      <w:lang w:val="en-GB" w:eastAsia="zh-CN"/>
                    </w:rPr>
                  </w:pPr>
                  <w:r>
                    <w:rPr>
                      <w:rFonts w:hint="eastAsia" w:ascii="宋体" w:hAnsi="宋体"/>
                      <w:sz w:val="21"/>
                      <w:szCs w:val="21"/>
                      <w:lang w:val="en-GB" w:eastAsia="zh-CN"/>
                    </w:rPr>
                    <w:t>市场部</w:t>
                  </w:r>
                </w:p>
              </w:tc>
              <w:tc>
                <w:tcPr>
                  <w:tcW w:w="1774" w:type="dxa"/>
                  <w:shd w:val="clear" w:color="auto" w:fill="auto"/>
                  <w:vAlign w:val="center"/>
                </w:tcPr>
                <w:p>
                  <w:pPr>
                    <w:shd w:val="clear" w:color="auto" w:fill="C7DAF1" w:themeFill="text2" w:themeFillTint="32"/>
                    <w:rPr>
                      <w:rFonts w:hint="default" w:ascii="宋体" w:hAnsi="宋体"/>
                      <w:sz w:val="21"/>
                      <w:szCs w:val="21"/>
                      <w:lang w:val="en-US" w:eastAsia="zh-CN"/>
                    </w:rPr>
                  </w:pPr>
                  <w:r>
                    <w:rPr>
                      <w:rFonts w:hint="eastAsia" w:ascii="宋体" w:hAnsi="宋体"/>
                      <w:sz w:val="21"/>
                      <w:szCs w:val="21"/>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val="en-US" w:eastAsia="zh-CN"/>
                    </w:rPr>
                    <w:t>工程项目验收合格率100%</w:t>
                  </w:r>
                </w:p>
              </w:tc>
              <w:tc>
                <w:tcPr>
                  <w:tcW w:w="3136" w:type="dxa"/>
                  <w:shd w:val="clear" w:color="auto" w:fill="auto"/>
                  <w:vAlign w:val="center"/>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val="en-US" w:eastAsia="zh-CN"/>
                    </w:rPr>
                    <w:t>工程项目验收总合格数</w:t>
                  </w:r>
                  <w:r>
                    <w:rPr>
                      <w:rFonts w:hint="eastAsia" w:ascii="宋体" w:hAnsi="宋体"/>
                      <w:sz w:val="21"/>
                      <w:szCs w:val="21"/>
                      <w:lang w:eastAsia="zh-CN"/>
                    </w:rPr>
                    <w:t>/</w:t>
                  </w:r>
                  <w:r>
                    <w:rPr>
                      <w:rFonts w:hint="eastAsia" w:ascii="宋体" w:hAnsi="宋体"/>
                      <w:sz w:val="21"/>
                      <w:szCs w:val="21"/>
                      <w:lang w:val="en-US" w:eastAsia="zh-CN"/>
                    </w:rPr>
                    <w:t>工程项目</w:t>
                  </w:r>
                  <w:r>
                    <w:rPr>
                      <w:rFonts w:hint="eastAsia" w:ascii="宋体" w:hAnsi="宋体"/>
                      <w:sz w:val="21"/>
                      <w:szCs w:val="21"/>
                      <w:lang w:eastAsia="zh-CN"/>
                    </w:rPr>
                    <w:t>总数×100%</w:t>
                  </w:r>
                </w:p>
              </w:tc>
              <w:tc>
                <w:tcPr>
                  <w:tcW w:w="1350" w:type="dxa"/>
                  <w:shd w:val="clear" w:color="auto" w:fill="auto"/>
                  <w:vAlign w:val="center"/>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eastAsia="zh-CN"/>
                    </w:rPr>
                    <w:t>工程部</w:t>
                  </w:r>
                </w:p>
              </w:tc>
              <w:tc>
                <w:tcPr>
                  <w:tcW w:w="1774" w:type="dxa"/>
                  <w:shd w:val="clear" w:color="auto" w:fill="auto"/>
                  <w:vAlign w:val="center"/>
                </w:tcPr>
                <w:p>
                  <w:pPr>
                    <w:shd w:val="clear" w:color="auto" w:fill="C7DAF1" w:themeFill="text2" w:themeFillTint="32"/>
                    <w:rPr>
                      <w:rFonts w:hint="default" w:ascii="宋体" w:hAnsi="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val="en-US" w:eastAsia="zh-CN"/>
                    </w:rPr>
                    <w:t>合同履约率100%</w:t>
                  </w:r>
                </w:p>
              </w:tc>
              <w:tc>
                <w:tcPr>
                  <w:tcW w:w="3136" w:type="dxa"/>
                  <w:shd w:val="clear" w:color="auto" w:fill="auto"/>
                  <w:vAlign w:val="center"/>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eastAsia="zh-CN"/>
                    </w:rPr>
                    <w:t>合同履约数/总合同数×100%</w:t>
                  </w:r>
                </w:p>
              </w:tc>
              <w:tc>
                <w:tcPr>
                  <w:tcW w:w="1350" w:type="dxa"/>
                  <w:shd w:val="clear" w:color="auto" w:fill="auto"/>
                  <w:vAlign w:val="center"/>
                </w:tcPr>
                <w:p>
                  <w:pPr>
                    <w:shd w:val="clear" w:color="auto" w:fill="C7DAF1" w:themeFill="text2" w:themeFillTint="32"/>
                    <w:rPr>
                      <w:rFonts w:hint="eastAsia" w:ascii="宋体" w:hAnsi="宋体"/>
                      <w:sz w:val="21"/>
                      <w:szCs w:val="21"/>
                      <w:lang w:eastAsia="zh-CN"/>
                    </w:rPr>
                  </w:pPr>
                  <w:r>
                    <w:rPr>
                      <w:rFonts w:hint="eastAsia" w:ascii="宋体" w:hAnsi="宋体"/>
                      <w:sz w:val="21"/>
                      <w:szCs w:val="21"/>
                      <w:lang w:eastAsia="zh-CN"/>
                    </w:rPr>
                    <w:t>市场部</w:t>
                  </w:r>
                </w:p>
              </w:tc>
              <w:tc>
                <w:tcPr>
                  <w:tcW w:w="1774" w:type="dxa"/>
                  <w:shd w:val="clear" w:color="auto" w:fill="auto"/>
                  <w:vAlign w:val="center"/>
                </w:tcPr>
                <w:p>
                  <w:pPr>
                    <w:shd w:val="clear" w:color="auto" w:fill="C7DAF1" w:themeFill="text2" w:themeFillTint="32"/>
                    <w:rPr>
                      <w:rFonts w:hint="default" w:ascii="宋体" w:hAnsi="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（电脑、打印机、修剪机、高枝剪、尖镐、喷雾器、灌水设备、手推车）</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（水准仪、经纬仪）</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园林绿化景观工程</w:t>
                  </w:r>
                </w:p>
              </w:tc>
              <w:tc>
                <w:tcPr>
                  <w:tcW w:w="3665" w:type="dxa"/>
                </w:tcPr>
                <w:p>
                  <w:pPr>
                    <w:shd w:val="clear" w:color="auto" w:fill="C7DAF1" w:themeFill="text2" w:themeFillTint="32"/>
                    <w:jc w:val="left"/>
                  </w:pPr>
                  <w:r>
                    <w:rPr>
                      <w:rFonts w:hint="eastAsia"/>
                    </w:rPr>
                    <w:t>服务过程</w:t>
                  </w:r>
                </w:p>
              </w:tc>
              <w:tc>
                <w:tcPr>
                  <w:tcW w:w="3265" w:type="dxa"/>
                </w:tcPr>
                <w:p>
                  <w:pPr>
                    <w:shd w:val="clear" w:color="auto" w:fill="C7DAF1" w:themeFill="text2" w:themeFillTint="32"/>
                    <w:jc w:val="left"/>
                  </w:pPr>
                  <w:r>
                    <w:rPr>
                      <w:rFonts w:hint="eastAsia"/>
                    </w:rPr>
                    <w:t>绿化标准，如苗木成活率栽植土回填及地形造型、养护期植被质量等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通过年度策划于2021年11月10日实施了质量管理体系内部审核，对质量管理体系的符合性和有效性进行了审核。内审发现的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最高管理者已按策划的时间间隔，在2021年11月21日对组织的质量管理体系进行了评审，以确保其持续的适宜性、充分性和有效性；管理评审输入、输出均按要求提供。并对提出的改进措施进行了落实。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最高管理者制定了文件化的管理体系方针：珍惜环境、和谐发展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火灾</w:t>
                  </w:r>
                </w:p>
              </w:tc>
              <w:tc>
                <w:tcPr>
                  <w:tcW w:w="3965" w:type="dxa"/>
                </w:tcPr>
                <w:p>
                  <w:pPr>
                    <w:shd w:val="clear" w:color="auto" w:fill="EBF1DE" w:themeFill="accent3" w:themeFillTint="32"/>
                    <w:rPr>
                      <w:rFonts w:hint="eastAsia" w:eastAsia="宋体"/>
                      <w:lang w:eastAsia="zh-CN"/>
                    </w:rPr>
                  </w:pPr>
                  <w:r>
                    <w:rPr>
                      <w:rFonts w:hint="eastAsia"/>
                      <w:lang w:eastAsia="zh-CN"/>
                    </w:rPr>
                    <w:t>管理方案及应急预案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固废</w:t>
                  </w:r>
                </w:p>
              </w:tc>
              <w:tc>
                <w:tcPr>
                  <w:tcW w:w="3965" w:type="dxa"/>
                </w:tcPr>
                <w:p>
                  <w:pPr>
                    <w:shd w:val="clear" w:color="auto" w:fill="EBF1DE" w:themeFill="accent3" w:themeFillTint="32"/>
                  </w:pPr>
                  <w:r>
                    <w:rPr>
                      <w:rFonts w:hint="eastAsia"/>
                      <w:lang w:eastAsia="zh-CN"/>
                    </w:rPr>
                    <w:t>管理方案</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w:t>
                  </w:r>
                </w:p>
              </w:tc>
              <w:tc>
                <w:tcPr>
                  <w:tcW w:w="3965" w:type="dxa"/>
                </w:tcPr>
                <w:p>
                  <w:pPr>
                    <w:shd w:val="clear" w:color="auto" w:fill="EBF1DE" w:themeFill="accent3" w:themeFillTint="32"/>
                  </w:pPr>
                  <w:r>
                    <w:rPr>
                      <w:rFonts w:hint="eastAsia"/>
                      <w:lang w:eastAsia="zh-CN"/>
                    </w:rPr>
                    <w:t>管理方案</w:t>
                  </w:r>
                </w:p>
              </w:tc>
              <w:tc>
                <w:tcPr>
                  <w:tcW w:w="1717" w:type="dxa"/>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农药泄漏</w:t>
                  </w:r>
                </w:p>
              </w:tc>
              <w:tc>
                <w:tcPr>
                  <w:tcW w:w="3965" w:type="dxa"/>
                </w:tcPr>
                <w:p>
                  <w:pPr>
                    <w:shd w:val="clear" w:color="auto" w:fill="EBF1DE" w:themeFill="accent3" w:themeFillTint="32"/>
                  </w:pPr>
                  <w:r>
                    <w:rPr>
                      <w:rFonts w:hint="eastAsia"/>
                      <w:lang w:eastAsia="zh-CN"/>
                    </w:rPr>
                    <w:t>管理方案及应急预案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w:t>
            </w:r>
            <w:r>
              <w:rPr>
                <w:rFonts w:hint="eastAsia"/>
                <w:lang w:eastAsia="zh-CN"/>
              </w:rPr>
              <w:t>☑</w:t>
            </w:r>
            <w:r>
              <w:rPr>
                <w:rFonts w:hint="eastAsia"/>
              </w:rPr>
              <w:t>噪声排放</w:t>
            </w:r>
            <w:r>
              <w:rPr>
                <w:rFonts w:hint="eastAsia"/>
                <w:lang w:eastAsia="zh-CN"/>
              </w:rPr>
              <w:t>☑</w:t>
            </w:r>
            <w:r>
              <w:rPr>
                <w:rFonts w:hint="eastAsia"/>
              </w:rPr>
              <w:t>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ascii="宋体" w:hAnsi="宋体"/>
                    </w:rPr>
                  </w:pPr>
                  <w:r>
                    <w:rPr>
                      <w:rFonts w:hint="eastAsia" w:ascii="宋体" w:hAnsi="宋体"/>
                      <w:lang w:val="en-US" w:eastAsia="zh-CN"/>
                    </w:rPr>
                    <w:t>对固体废弃物合规处置率100%</w:t>
                  </w:r>
                </w:p>
              </w:tc>
              <w:tc>
                <w:tcPr>
                  <w:tcW w:w="3136" w:type="dxa"/>
                  <w:shd w:val="clear" w:color="auto" w:fill="auto"/>
                  <w:vAlign w:val="center"/>
                </w:tcPr>
                <w:p>
                  <w:pPr>
                    <w:shd w:val="clear" w:color="auto" w:fill="EBF1DE" w:themeFill="accent3" w:themeFillTint="32"/>
                    <w:rPr>
                      <w:rFonts w:hint="eastAsia" w:ascii="宋体" w:hAnsi="宋体"/>
                      <w:lang w:val="en-GB" w:eastAsia="zh-CN"/>
                    </w:rPr>
                  </w:pPr>
                  <w:r>
                    <w:rPr>
                      <w:rFonts w:hint="eastAsia" w:ascii="宋体" w:hAnsi="宋体"/>
                      <w:lang w:val="en-GB" w:eastAsia="zh-CN"/>
                    </w:rPr>
                    <w:t>管理方案</w:t>
                  </w:r>
                </w:p>
              </w:tc>
              <w:tc>
                <w:tcPr>
                  <w:tcW w:w="1350" w:type="dxa"/>
                  <w:shd w:val="clear" w:color="auto" w:fill="auto"/>
                  <w:vAlign w:val="center"/>
                </w:tcPr>
                <w:p>
                  <w:pPr>
                    <w:shd w:val="clear" w:color="auto" w:fill="EBF1DE" w:themeFill="accent3" w:themeFillTint="32"/>
                    <w:rPr>
                      <w:rFonts w:hint="eastAsia" w:ascii="宋体" w:hAnsi="宋体"/>
                      <w:lang w:val="en-GB" w:eastAsia="zh-CN"/>
                    </w:rPr>
                  </w:pPr>
                  <w:r>
                    <w:rPr>
                      <w:rFonts w:hint="eastAsia" w:ascii="宋体" w:hAnsi="宋体"/>
                      <w:lang w:val="en-GB" w:eastAsia="zh-CN"/>
                    </w:rPr>
                    <w:t>人事部</w:t>
                  </w:r>
                </w:p>
              </w:tc>
              <w:tc>
                <w:tcPr>
                  <w:tcW w:w="1774" w:type="dxa"/>
                  <w:shd w:val="clear" w:color="auto" w:fill="auto"/>
                  <w:vAlign w:val="center"/>
                </w:tcPr>
                <w:p>
                  <w:pPr>
                    <w:shd w:val="clear" w:color="auto" w:fill="EBF1DE" w:themeFill="accent3" w:themeFillTint="32"/>
                    <w:rPr>
                      <w:rFonts w:hint="eastAsia" w:ascii="宋体" w:hAnsi="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ascii="宋体" w:hAnsi="宋体"/>
                    </w:rPr>
                  </w:pPr>
                  <w:r>
                    <w:rPr>
                      <w:rFonts w:hint="eastAsia" w:ascii="宋体" w:hAnsi="宋体"/>
                    </w:rPr>
                    <w:t>无火灾事故发生</w:t>
                  </w:r>
                </w:p>
              </w:tc>
              <w:tc>
                <w:tcPr>
                  <w:tcW w:w="3136" w:type="dxa"/>
                  <w:shd w:val="clear" w:color="auto" w:fill="auto"/>
                  <w:vAlign w:val="center"/>
                </w:tcPr>
                <w:p>
                  <w:pPr>
                    <w:shd w:val="clear" w:color="auto" w:fill="EBF1DE" w:themeFill="accent3" w:themeFillTint="32"/>
                    <w:rPr>
                      <w:rFonts w:hint="eastAsia" w:ascii="宋体" w:hAnsi="宋体"/>
                      <w:lang w:eastAsia="zh-CN"/>
                    </w:rPr>
                  </w:pPr>
                  <w:r>
                    <w:rPr>
                      <w:rFonts w:hint="eastAsia" w:ascii="宋体" w:hAnsi="宋体"/>
                      <w:lang w:eastAsia="zh-CN"/>
                    </w:rPr>
                    <w:t>管理方案及应急预案</w:t>
                  </w:r>
                </w:p>
              </w:tc>
              <w:tc>
                <w:tcPr>
                  <w:tcW w:w="1350" w:type="dxa"/>
                  <w:shd w:val="clear" w:color="auto" w:fill="auto"/>
                  <w:vAlign w:val="center"/>
                </w:tcPr>
                <w:p>
                  <w:pPr>
                    <w:shd w:val="clear" w:color="auto" w:fill="EBF1DE" w:themeFill="accent3" w:themeFillTint="32"/>
                    <w:rPr>
                      <w:rFonts w:hint="eastAsia" w:ascii="宋体" w:hAnsi="宋体"/>
                      <w:lang w:eastAsia="zh-CN"/>
                    </w:rPr>
                  </w:pPr>
                  <w:r>
                    <w:rPr>
                      <w:rFonts w:hint="eastAsia" w:ascii="宋体" w:hAnsi="宋体"/>
                      <w:lang w:eastAsia="zh-CN"/>
                    </w:rPr>
                    <w:t>工程部</w:t>
                  </w:r>
                </w:p>
              </w:tc>
              <w:tc>
                <w:tcPr>
                  <w:tcW w:w="1774" w:type="dxa"/>
                  <w:shd w:val="clear" w:color="auto" w:fill="auto"/>
                  <w:vAlign w:val="center"/>
                </w:tcPr>
                <w:p>
                  <w:pPr>
                    <w:shd w:val="clear" w:color="auto" w:fill="EBF1DE" w:themeFill="accent3" w:themeFillTint="32"/>
                    <w:rPr>
                      <w:rFonts w:hint="eastAsia" w:ascii="宋体" w:hAnsi="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建筑面积100平方米；生产车间0个；库房0个；实验室0个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（电脑、打印机、修剪机、高枝剪、尖镐、喷雾器、灌水设备、手推车等）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eastAsia="zh-CN"/>
                    </w:rPr>
                  </w:pPr>
                  <w:r>
                    <w:rPr>
                      <w:rFonts w:hint="eastAsia"/>
                      <w:lang w:eastAsia="zh-CN"/>
                    </w:rPr>
                    <w:t>管理方案及应急预案</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eastAsia" w:eastAsia="宋体"/>
                      <w:lang w:eastAsia="zh-CN"/>
                    </w:rPr>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eastAsia="zh-CN"/>
              </w:rPr>
              <w:t>2022年6月5日进行了火灾应急的演练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定期（每年）：2022年3月20日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通过年度策划于2021年11月10日实施了环境管理体系内部审核，对环境管理体系的符合性和有效性进行了审核。内审发现的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最高管理者已按策划的时间间隔，在2021年11月21日对组织的环境管理体系进行了评审，以确保其持续的适宜性、充分性和有效性；管理评审输入、输出均按要求提供。并对提出的改进措施进行了落实。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pPr>
              <w:tabs>
                <w:tab w:val="left" w:pos="5002"/>
              </w:tabs>
              <w:rPr>
                <w:rFonts w:hint="eastAsia" w:eastAsia="宋体"/>
                <w:lang w:eastAsia="zh-CN"/>
              </w:rPr>
            </w:pPr>
            <w:r>
              <w:rPr>
                <w:rFonts w:hint="eastAsia"/>
              </w:rPr>
              <w:t>□EMS体系建立以来</w:t>
            </w:r>
            <w:r>
              <w:rPr>
                <w:rFonts w:hint="eastAsia"/>
                <w:lang w:eastAsia="zh-CN"/>
              </w:rPr>
              <w:t>☑</w:t>
            </w:r>
            <w:r>
              <w:rPr>
                <w:rFonts w:hint="eastAsia"/>
              </w:rPr>
              <w:t>定期（近一年）□其他</w:t>
            </w:r>
            <w:r>
              <w:rPr>
                <w:rFonts w:hint="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宋体" w:hAnsi="宋体"/>
                <w:bCs/>
                <w:color w:val="000000" w:themeColor="text1"/>
                <w:szCs w:val="21"/>
              </w:rPr>
              <w:t>节能降耗、安全第一</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人事部</w:t>
            </w:r>
          </w:p>
          <w:p>
            <w:pPr>
              <w:rPr>
                <w:rFonts w:hint="eastAsia" w:eastAsia="宋体"/>
                <w:lang w:eastAsia="zh-CN"/>
              </w:rPr>
            </w:pPr>
            <w:r>
              <w:rPr>
                <w:rFonts w:hint="eastAsia"/>
              </w:rPr>
              <w:t>安全的主管部门是——</w:t>
            </w:r>
            <w:r>
              <w:rPr>
                <w:rFonts w:hint="eastAsia"/>
                <w:lang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员工代表是——裴丽敏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lang w:eastAsia="zh-CN"/>
                    </w:rPr>
                    <w:t>火灾</w:t>
                  </w:r>
                </w:p>
              </w:tc>
              <w:tc>
                <w:tcPr>
                  <w:tcW w:w="3965" w:type="dxa"/>
                </w:tcPr>
                <w:p>
                  <w:pPr>
                    <w:rPr>
                      <w:rFonts w:hint="eastAsia" w:eastAsia="宋体"/>
                      <w:lang w:eastAsia="zh-CN"/>
                    </w:rPr>
                  </w:pPr>
                  <w:r>
                    <w:rPr>
                      <w:rFonts w:hint="eastAsia"/>
                      <w:lang w:eastAsia="zh-CN"/>
                    </w:rPr>
                    <w:t>管理方案及应急预案</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意外伤害（物体打击、触电、机械伤害、中毒、中暑）</w:t>
                  </w:r>
                </w:p>
              </w:tc>
              <w:tc>
                <w:tcPr>
                  <w:tcW w:w="3965" w:type="dxa"/>
                </w:tcPr>
                <w:p>
                  <w:r>
                    <w:rPr>
                      <w:rFonts w:hint="eastAsia"/>
                      <w:lang w:eastAsia="zh-CN"/>
                    </w:rPr>
                    <w:t>管理方案及应急预案</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ascii="宋体" w:hAnsi="宋体"/>
                      <w:sz w:val="21"/>
                      <w:szCs w:val="21"/>
                    </w:rPr>
                    <w:t>无火灾事故发生</w:t>
                  </w:r>
                </w:p>
              </w:tc>
              <w:tc>
                <w:tcPr>
                  <w:tcW w:w="3136" w:type="dxa"/>
                  <w:shd w:val="clear" w:color="auto" w:fill="auto"/>
                  <w:vAlign w:val="center"/>
                </w:tcPr>
                <w:p>
                  <w:pPr>
                    <w:rPr>
                      <w:rFonts w:hint="eastAsia" w:eastAsia="宋体"/>
                      <w:lang w:val="en-GB" w:eastAsia="zh-CN"/>
                    </w:rPr>
                  </w:pPr>
                  <w:r>
                    <w:rPr>
                      <w:rFonts w:hint="eastAsia"/>
                      <w:lang w:val="en-GB" w:eastAsia="zh-CN"/>
                    </w:rPr>
                    <w:t>管理方案及应急预案</w:t>
                  </w:r>
                </w:p>
              </w:tc>
              <w:tc>
                <w:tcPr>
                  <w:tcW w:w="1350" w:type="dxa"/>
                  <w:shd w:val="clear" w:color="auto" w:fill="auto"/>
                  <w:vAlign w:val="center"/>
                </w:tcPr>
                <w:p>
                  <w:pPr>
                    <w:rPr>
                      <w:rFonts w:hint="eastAsia" w:eastAsia="宋体"/>
                      <w:lang w:val="en-GB" w:eastAsia="zh-CN"/>
                    </w:rPr>
                  </w:pPr>
                  <w:r>
                    <w:rPr>
                      <w:rFonts w:hint="eastAsia"/>
                      <w:lang w:val="en-GB" w:eastAsia="zh-CN"/>
                    </w:rPr>
                    <w:t>工程部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ascii="宋体" w:hAnsi="宋体"/>
                      <w:sz w:val="21"/>
                      <w:szCs w:val="21"/>
                      <w:lang w:val="en-US" w:eastAsia="zh-CN"/>
                    </w:rPr>
                    <w:t>死亡事故发生率为0</w:t>
                  </w:r>
                </w:p>
              </w:tc>
              <w:tc>
                <w:tcPr>
                  <w:tcW w:w="3136" w:type="dxa"/>
                  <w:shd w:val="clear" w:color="auto" w:fill="auto"/>
                  <w:vAlign w:val="center"/>
                </w:tcPr>
                <w:p>
                  <w:pPr>
                    <w:rPr>
                      <w:rFonts w:ascii="宋体" w:hAnsi="宋体"/>
                    </w:rPr>
                  </w:pPr>
                  <w:r>
                    <w:rPr>
                      <w:rFonts w:hint="eastAsia"/>
                      <w:lang w:val="en-GB" w:eastAsia="zh-CN"/>
                    </w:rPr>
                    <w:t>管理方案及应急预案</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建筑面积100平方米；生产车间0个；库房0个；实验室0个</w:t>
            </w:r>
            <w:r>
              <w:rPr>
                <w:rFonts w:hint="eastAsia"/>
              </w:rPr>
              <w:t>；</w:t>
            </w:r>
          </w:p>
          <w:p>
            <w:pPr>
              <w:rPr>
                <w:u w:val="single"/>
              </w:rPr>
            </w:pPr>
            <w:r>
              <w:rPr>
                <w:rFonts w:hint="eastAsia"/>
              </w:rPr>
              <w:t>主要生产设备有：</w:t>
            </w:r>
            <w:r>
              <w:rPr>
                <w:rFonts w:hint="eastAsia"/>
                <w:u w:val="single"/>
              </w:rPr>
              <w:t>（电脑、打印机、修剪机、高枝剪、尖镐、喷雾器、灌水设备、手推车等）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lang w:eastAsia="zh-CN"/>
                    </w:rPr>
                    <w:t>□</w:t>
                  </w:r>
                  <w:r>
                    <w:rPr>
                      <w:rFonts w:hint="eastAsia"/>
                    </w:rPr>
                    <w:t>设置围堰□排风系统</w:t>
                  </w:r>
                  <w:r>
                    <w:rPr>
                      <w:rFonts w:hint="eastAsia"/>
                      <w:lang w:eastAsia="zh-CN"/>
                    </w:rPr>
                    <w:t>☑</w:t>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lang w:eastAsia="zh-CN"/>
                    </w:rPr>
                    <w:t>☑</w:t>
                  </w:r>
                  <w:r>
                    <w:rPr>
                      <w:rFonts w:hint="eastAsia"/>
                    </w:rPr>
                    <w:t>防暑降温用品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管理方案及应急预案</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eastAsia="zh-CN"/>
              </w:rPr>
              <w:t>2022年6月5日进行了火灾应急的演练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定期（每年）：2022年3月20日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通过年度策划于2021年11月10日实施了职业健康安全管理体系内部审核，对职业健康安全管理体系的符合性和有效性进行了审核。内审发现的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最高管理者已按策划的时间间隔，在2021年11月21日对组织的职业健康安全管理体系进行了评审，以确保其持续的适宜性、充分性和有效性；管理评审输入、输出均按要求提供。并对提出的改进措施进行了落实。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40C28B7"/>
    <w:rsid w:val="040D7310"/>
    <w:rsid w:val="04680F4A"/>
    <w:rsid w:val="04A9250C"/>
    <w:rsid w:val="04E14AB9"/>
    <w:rsid w:val="06A5183D"/>
    <w:rsid w:val="06CF2642"/>
    <w:rsid w:val="078C3715"/>
    <w:rsid w:val="088F013B"/>
    <w:rsid w:val="09D43B87"/>
    <w:rsid w:val="0C6F13E1"/>
    <w:rsid w:val="0DD839B2"/>
    <w:rsid w:val="0EE62F86"/>
    <w:rsid w:val="0F9C0802"/>
    <w:rsid w:val="107B59E5"/>
    <w:rsid w:val="11585E09"/>
    <w:rsid w:val="116F5C60"/>
    <w:rsid w:val="11AA3E5D"/>
    <w:rsid w:val="14343EFC"/>
    <w:rsid w:val="16277450"/>
    <w:rsid w:val="163F6E10"/>
    <w:rsid w:val="178D088D"/>
    <w:rsid w:val="188665EA"/>
    <w:rsid w:val="18B1621A"/>
    <w:rsid w:val="19B525C4"/>
    <w:rsid w:val="1BE81A43"/>
    <w:rsid w:val="1E320A25"/>
    <w:rsid w:val="1FAE1B6D"/>
    <w:rsid w:val="205A1FB1"/>
    <w:rsid w:val="21D564D2"/>
    <w:rsid w:val="24206F9A"/>
    <w:rsid w:val="279B3ADF"/>
    <w:rsid w:val="289F261A"/>
    <w:rsid w:val="28DC6715"/>
    <w:rsid w:val="2A56595E"/>
    <w:rsid w:val="2ABC4E3A"/>
    <w:rsid w:val="2AF721FD"/>
    <w:rsid w:val="2C7277F9"/>
    <w:rsid w:val="2C7B043E"/>
    <w:rsid w:val="2C9F0A22"/>
    <w:rsid w:val="2D022382"/>
    <w:rsid w:val="2DA525E3"/>
    <w:rsid w:val="2E556F69"/>
    <w:rsid w:val="30E95574"/>
    <w:rsid w:val="32526471"/>
    <w:rsid w:val="3369794E"/>
    <w:rsid w:val="38E045CB"/>
    <w:rsid w:val="39160EB8"/>
    <w:rsid w:val="39B87880"/>
    <w:rsid w:val="39CA3B23"/>
    <w:rsid w:val="3B2E28D1"/>
    <w:rsid w:val="3C0D4B53"/>
    <w:rsid w:val="3CB1741D"/>
    <w:rsid w:val="3CF204C0"/>
    <w:rsid w:val="3DCE0ED3"/>
    <w:rsid w:val="3F510B85"/>
    <w:rsid w:val="3F986F21"/>
    <w:rsid w:val="41CC723D"/>
    <w:rsid w:val="43010842"/>
    <w:rsid w:val="44355499"/>
    <w:rsid w:val="454C2C19"/>
    <w:rsid w:val="46284338"/>
    <w:rsid w:val="4677357B"/>
    <w:rsid w:val="46C422D4"/>
    <w:rsid w:val="471E41AF"/>
    <w:rsid w:val="48DF1906"/>
    <w:rsid w:val="49DC3D74"/>
    <w:rsid w:val="49E335D2"/>
    <w:rsid w:val="4A775061"/>
    <w:rsid w:val="4EFA7BA9"/>
    <w:rsid w:val="524460A1"/>
    <w:rsid w:val="54B16ACE"/>
    <w:rsid w:val="565E2503"/>
    <w:rsid w:val="5663415F"/>
    <w:rsid w:val="569C7E2B"/>
    <w:rsid w:val="5F136D7C"/>
    <w:rsid w:val="6266129C"/>
    <w:rsid w:val="627C30F1"/>
    <w:rsid w:val="67C318EE"/>
    <w:rsid w:val="68903D84"/>
    <w:rsid w:val="69771BA1"/>
    <w:rsid w:val="69D25036"/>
    <w:rsid w:val="6D9C387A"/>
    <w:rsid w:val="6E2C7CBF"/>
    <w:rsid w:val="6E3B5D8D"/>
    <w:rsid w:val="6FF17ED0"/>
    <w:rsid w:val="72207836"/>
    <w:rsid w:val="72964253"/>
    <w:rsid w:val="72E1598B"/>
    <w:rsid w:val="73366493"/>
    <w:rsid w:val="778236D6"/>
    <w:rsid w:val="784C1F84"/>
    <w:rsid w:val="78D917EA"/>
    <w:rsid w:val="78E634B9"/>
    <w:rsid w:val="7C093B03"/>
    <w:rsid w:val="7DF02664"/>
    <w:rsid w:val="7EDA3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2022-07-25T06:34:04Z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