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599"/>
        <w:gridCol w:w="163"/>
        <w:gridCol w:w="256"/>
        <w:gridCol w:w="432"/>
        <w:gridCol w:w="542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重庆鑫邦电炉有限公司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重庆市沙坪坝区矿山坡138号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重庆市沙坪坝区矿山坡138号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黄国屹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13883985055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492132183@qq.com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rFonts w:hint="eastAsia"/>
              </w:rPr>
              <w:t>宣丁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4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0889-2022-EO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337" w:type="dxa"/>
            <w:gridSpan w:val="7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E：工业炉、热处理设备、实验电炉、炉用控制系统的组装、销售所涉及场所的相关环境管理活动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O：工业炉、热处理设备、实验电炉、炉用控制系统的组装、销售所涉及场所的相关职业健康安全管理活动</w:t>
            </w:r>
            <w:bookmarkEnd w:id="24"/>
          </w:p>
        </w:tc>
        <w:tc>
          <w:tcPr>
            <w:tcW w:w="8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991" w:type="dxa"/>
            <w:gridSpan w:val="3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E：18.02.01;18.02.06</w:t>
            </w:r>
          </w:p>
          <w:p>
            <w:pPr>
              <w:jc w:val="left"/>
              <w:rPr>
                <w:sz w:val="20"/>
              </w:rPr>
            </w:pPr>
            <w:r>
              <w:rPr>
                <w:sz w:val="20"/>
              </w:rPr>
              <w:t>O：18.02.01;18.02.06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□适用于受审核方的法律法规及其他要求； □认证合同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2022年07月17日 下午至2022年07月18日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1.5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 (共天)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文平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2021-N1EMS-3093566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2022-N1OHSMS-3093566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E:18.02.01,18.02.06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O:18.02.01,18.02.06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13983696917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杨珍全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2021-N1EMS-2230067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2021-N1OHSMS-2230067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E:18.02.06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O:18.02.06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13883847833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冉景洲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2020-N1EMS-1267598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2021-N1OHSMS-1267598</w:t>
            </w:r>
          </w:p>
        </w:tc>
        <w:tc>
          <w:tcPr>
            <w:tcW w:w="169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18983000183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4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3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文平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李永忠</w:t>
            </w:r>
            <w:bookmarkEnd w:id="35"/>
          </w:p>
        </w:tc>
        <w:tc>
          <w:tcPr>
            <w:tcW w:w="2061" w:type="dxa"/>
            <w:gridSpan w:val="6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13983696917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6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2022.7.15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2022.7.15</w:t>
            </w:r>
          </w:p>
        </w:tc>
        <w:tc>
          <w:tcPr>
            <w:tcW w:w="2061" w:type="dxa"/>
            <w:gridSpan w:val="6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2022.7.15</w:t>
            </w:r>
          </w:p>
        </w:tc>
      </w:tr>
    </w:tbl>
    <w:p>
      <w:pPr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6"/>
        <w:tblW w:w="10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1005"/>
        <w:gridCol w:w="5530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97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0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13:30-14:00</w:t>
            </w:r>
          </w:p>
        </w:tc>
        <w:tc>
          <w:tcPr>
            <w:tcW w:w="6535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97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37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14:00-17:30</w:t>
            </w:r>
          </w:p>
          <w:p>
            <w:pPr>
              <w:pStyle w:val="2"/>
              <w:rPr>
                <w:rFonts w:ascii="宋体" w:hAnsi="宋体"/>
                <w:b/>
                <w:bCs w:val="0"/>
                <w:sz w:val="21"/>
                <w:szCs w:val="21"/>
              </w:rPr>
            </w:pPr>
          </w:p>
        </w:tc>
        <w:tc>
          <w:tcPr>
            <w:tcW w:w="100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5530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 xml:space="preserve">EMS: 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OHSMS: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</w:t>
            </w:r>
            <w:r>
              <w:rPr>
                <w:rFonts w:hint="eastAsia" w:ascii="宋体" w:hAnsi="宋体" w:eastAsia="宋体" w:cs="新宋体"/>
                <w:sz w:val="18"/>
                <w:szCs w:val="18"/>
              </w:rPr>
              <w:t>领导作用与承诺;5.2方针;5.3组织的角色、职责和权限；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5.4</w:t>
            </w:r>
            <w:bookmarkStart w:id="36" w:name="_GoBack"/>
            <w:r>
              <w:rPr>
                <w:rFonts w:hint="eastAsia" w:ascii="宋体" w:hAnsi="宋体" w:eastAsia="宋体" w:cs="新宋体"/>
                <w:sz w:val="18"/>
                <w:szCs w:val="18"/>
              </w:rPr>
              <w:t>工作人员的协商和参与</w:t>
            </w:r>
            <w:r>
              <w:rPr>
                <w:rFonts w:hint="eastAsia" w:ascii="宋体" w:hAnsi="宋体" w:eastAsia="宋体" w:cs="新宋体"/>
                <w:sz w:val="18"/>
                <w:szCs w:val="18"/>
                <w:lang w:val="en-US" w:eastAsia="zh-CN"/>
              </w:rPr>
              <w:t>；</w:t>
            </w:r>
            <w:bookmarkEnd w:id="36"/>
            <w:r>
              <w:rPr>
                <w:rFonts w:hint="eastAsia" w:ascii="宋体" w:hAnsi="宋体" w:eastAsia="宋体" w:cs="新宋体"/>
                <w:sz w:val="18"/>
                <w:szCs w:val="18"/>
              </w:rPr>
              <w:t>6.1应对风险和机遇的措施6.1.4措施的策划；6.2目标及其实现的策划；7.1资源；7.4信息和沟通；7.5.1文件化信息总则；9.1监视、测量、分析和评价；9.2内部审核；9.3管理评审；10.1事件、不符合和纠正措施；10.2持续改进。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范围的确认，资质的确认，管理体系变化情况、法律法规执行情况，重大环境安全事故，及环境安全投诉、一阶段问题验证。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14:00-17:30</w:t>
            </w:r>
          </w:p>
          <w:p>
            <w:pPr>
              <w:pStyle w:val="2"/>
              <w:rPr>
                <w:rFonts w:ascii="宋体" w:hAnsi="宋体"/>
                <w:b/>
                <w:bCs w:val="0"/>
                <w:sz w:val="21"/>
                <w:szCs w:val="21"/>
              </w:rPr>
            </w:pPr>
          </w:p>
        </w:tc>
        <w:tc>
          <w:tcPr>
            <w:tcW w:w="100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办公室</w:t>
            </w:r>
          </w:p>
        </w:tc>
        <w:tc>
          <w:tcPr>
            <w:tcW w:w="5530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EMS: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5.3组织的角色、职责和权限;6.1.3合规义务；6.2目标及其达成的策划；7.2能力；7.3意识；7.4信息和沟通； 7.5文件化信息；8.2应急准备和响应；9.1监视、测量、分析与评估；9.1.2符合性评估；10.2不符合和纠正措施；10.3持续改进/EMS运行控制相关财务支出证据。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OHSMS: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5.3组织的角色、职责和权限；6.1.3法律法规要求和其他要求；6.2目标及其实现的策划；7.2能力；7.3意识；7.4信息和沟通； 7.5文件化信息；8.2应急准备和响应；9.1监视、测量、分析和评价；9.1.2法律法规要求和其他要求的合规性评价；10.1事件、不符合和纠正措施；10.2持续改进/OHSMS运行控制财务支出证据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14:00-15:30</w:t>
            </w:r>
          </w:p>
          <w:p>
            <w:pPr>
              <w:pStyle w:val="2"/>
              <w:rPr>
                <w:rFonts w:ascii="宋体" w:hAnsi="宋体"/>
                <w:b/>
                <w:bCs w:val="0"/>
                <w:sz w:val="21"/>
                <w:szCs w:val="21"/>
              </w:rPr>
            </w:pPr>
          </w:p>
        </w:tc>
        <w:tc>
          <w:tcPr>
            <w:tcW w:w="1005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办公室</w:t>
            </w:r>
          </w:p>
        </w:tc>
        <w:tc>
          <w:tcPr>
            <w:tcW w:w="5530" w:type="dxa"/>
          </w:tcPr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EMS: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6.1.2环境因素；8.1运行策划和控制；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OHSMS: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6.1.2危险源辨识和职业安全风险评价；8.1运行策划和控制；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</w:t>
            </w:r>
          </w:p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2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15:30-17:30</w:t>
            </w:r>
          </w:p>
          <w:p>
            <w:pPr>
              <w:pStyle w:val="2"/>
              <w:rPr>
                <w:rFonts w:ascii="宋体" w:hAnsi="宋体"/>
                <w:b/>
                <w:bCs w:val="0"/>
                <w:sz w:val="21"/>
                <w:szCs w:val="21"/>
              </w:rPr>
            </w:pPr>
          </w:p>
        </w:tc>
        <w:tc>
          <w:tcPr>
            <w:tcW w:w="1005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技术部</w:t>
            </w:r>
          </w:p>
        </w:tc>
        <w:tc>
          <w:tcPr>
            <w:tcW w:w="5530" w:type="dxa"/>
          </w:tcPr>
          <w:p>
            <w:pPr>
              <w:snapToGrid w:val="0"/>
              <w:spacing w:line="280" w:lineRule="exact"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EMS: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5.3组织的角色、职责和权限、6.2目标及其达成的策划；7.4沟通；6.1.2环境因素；8.1运行策划和控制；8.2应急准备和响应；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OHSMS: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5.3组织的角色、职责和权限；6.2目标及其实现的策划；7.4沟通；6.1.2危险源辨识和职业安全风险评价；8.1运行策划和控制；8.2应急准备和响应；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7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18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（午餐时间12：00-12:30）</w:t>
            </w: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pacing w:val="1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</w:rPr>
              <w:t>8:30-16:30</w:t>
            </w:r>
          </w:p>
          <w:p>
            <w:pPr>
              <w:pStyle w:val="2"/>
            </w:pPr>
          </w:p>
          <w:p>
            <w:pPr>
              <w:pStyle w:val="2"/>
            </w:pPr>
          </w:p>
        </w:tc>
        <w:tc>
          <w:tcPr>
            <w:tcW w:w="1005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生产部</w:t>
            </w:r>
          </w:p>
        </w:tc>
        <w:tc>
          <w:tcPr>
            <w:tcW w:w="5530" w:type="dxa"/>
          </w:tcPr>
          <w:p>
            <w:pPr>
              <w:snapToGrid w:val="0"/>
              <w:spacing w:line="280" w:lineRule="exact"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EMS: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5.3组织的角色、职责和权限、6.2目标及其达成的策划；7.4沟通；6.1.2环境因素；8.1运行策划和控制；8.2应急准备和响应；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OHSMS:</w:t>
            </w:r>
          </w:p>
          <w:p>
            <w:pPr>
              <w:widowControl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5.3组织的角色、职责和权限；6.2目标及其实现的策划；7.4沟通；6.1.2危险源辨识和职业安全风险评价；8.1运行策划和控制8.2应急准备和响应；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文平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pacing w:val="1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</w:rPr>
              <w:t>8:30-16:30</w:t>
            </w:r>
          </w:p>
          <w:p>
            <w:pPr>
              <w:pStyle w:val="2"/>
            </w:pPr>
          </w:p>
          <w:p>
            <w:pPr>
              <w:pStyle w:val="2"/>
            </w:pPr>
          </w:p>
        </w:tc>
        <w:tc>
          <w:tcPr>
            <w:tcW w:w="1005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/>
                <w:sz w:val="21"/>
                <w:szCs w:val="21"/>
              </w:rPr>
              <w:t>供应部</w:t>
            </w:r>
          </w:p>
        </w:tc>
        <w:tc>
          <w:tcPr>
            <w:tcW w:w="5530" w:type="dxa"/>
          </w:tcPr>
          <w:p>
            <w:pPr>
              <w:snapToGrid w:val="0"/>
              <w:spacing w:line="280" w:lineRule="exact"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EMS: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5.3组织的角色、职责和权限、6.2目标及其达成的策划；7.4沟通；6.1.2环境因素；8.1运行策划和控制；8.2应急准备和响应；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OHSMS: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5.3组织的角色、职责和权限；6.2目标及其实现的策划；7.4沟通；6.1.2危险源辨识和职业安全风险评价；8.1运行策划和控制；8.2应急准备和响应；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8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pacing w:val="1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pacing w:val="10"/>
                <w:sz w:val="21"/>
                <w:szCs w:val="21"/>
              </w:rPr>
              <w:t>8:30-16:30</w:t>
            </w:r>
          </w:p>
          <w:p>
            <w:pPr>
              <w:pStyle w:val="2"/>
            </w:pPr>
          </w:p>
          <w:p>
            <w:pPr>
              <w:pStyle w:val="2"/>
            </w:pPr>
          </w:p>
        </w:tc>
        <w:tc>
          <w:tcPr>
            <w:tcW w:w="1005" w:type="dxa"/>
          </w:tcPr>
          <w:p>
            <w:pPr>
              <w:spacing w:line="30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ascii="宋体" w:hAnsi="宋体" w:cs="新宋体"/>
                <w:sz w:val="21"/>
                <w:szCs w:val="21"/>
              </w:rPr>
              <w:t>销售部</w:t>
            </w:r>
          </w:p>
        </w:tc>
        <w:tc>
          <w:tcPr>
            <w:tcW w:w="5530" w:type="dxa"/>
          </w:tcPr>
          <w:p>
            <w:pPr>
              <w:snapToGrid w:val="0"/>
              <w:spacing w:line="280" w:lineRule="exact"/>
              <w:jc w:val="lef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EMS: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5.3组织的角色、职责和权限、6.2目标及其达成的策划；7.4沟通；6.1.2环境因素；8.1运行策划和控制；8.2应急准备和响应；</w:t>
            </w:r>
          </w:p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OHSMS: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5.3组织的角色、职责和权限；6.2目标及其实现的策划；7.4沟通；6.1.2危险源辨识和职业安全风险评价；8.1运行策划和控制；8.2应急准备和响应；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冉景洲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16:30-17:00</w:t>
            </w:r>
          </w:p>
        </w:tc>
        <w:tc>
          <w:tcPr>
            <w:tcW w:w="6535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审核组内部沟通,并与受审核方沟通、末次会议</w:t>
            </w:r>
          </w:p>
        </w:tc>
        <w:tc>
          <w:tcPr>
            <w:tcW w:w="975" w:type="dxa"/>
            <w:tcBorders>
              <w:right w:val="single" w:color="auto" w:sz="8" w:space="0"/>
            </w:tcBorders>
          </w:tcPr>
          <w:p>
            <w:pPr>
              <w:snapToGrid w:val="0"/>
              <w:spacing w:line="280" w:lineRule="exact"/>
              <w:jc w:val="lef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sz w:val="18"/>
                <w:szCs w:val="18"/>
              </w:rPr>
              <w:t>审核组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6.35pt;margin-top:9.3pt;height:20.2pt;width:117.9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1,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A2ZDc0NDE1ZTY5YjdmZDFkYTZhNjAxMDE4N2I3ODkifQ=="/>
  </w:docVars>
  <w:rsids>
    <w:rsidRoot w:val="00415EE6"/>
    <w:rsid w:val="00415EE6"/>
    <w:rsid w:val="00492103"/>
    <w:rsid w:val="00623A6A"/>
    <w:rsid w:val="00C5780A"/>
    <w:rsid w:val="00DD4457"/>
    <w:rsid w:val="00F0180D"/>
    <w:rsid w:val="2C0327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4E0CD38-8903-4C7D-9A88-2DE995CC53B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2378</Words>
  <Characters>3475</Characters>
  <Lines>27</Lines>
  <Paragraphs>7</Paragraphs>
  <TotalTime>1</TotalTime>
  <ScaleCrop>false</ScaleCrop>
  <LinksUpToDate>false</LinksUpToDate>
  <CharactersWithSpaces>3534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2022-07-18T03:29:37Z</dcterms:modified>
  <cp:revision>63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2052-11.1.0.11875</vt:lpwstr>
  </property>
</Properties>
</file>