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0103-2020-Q-2022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四川永盾服饰有限公司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四川永盾服饰有限公司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四川省德阳市绵竹市孝德镇忠孝场</w:t>
            </w:r>
            <w:bookmarkEnd w:id="6"/>
          </w:p>
        </w:tc>
        <w:tc>
          <w:tcPr>
            <w:tcW w:w="1242" w:type="dxa"/>
            <w:vMerge w:val="restart"/>
            <w:vAlign w:val="center"/>
          </w:tcPr>
          <w:p>
            <w:r>
              <w:rPr>
                <w:rFonts w:hint="eastAsia"/>
              </w:rPr>
              <w:t>邮编</w:t>
            </w:r>
          </w:p>
        </w:tc>
        <w:tc>
          <w:tcPr>
            <w:tcW w:w="1771" w:type="dxa"/>
          </w:tcPr>
          <w:p>
            <w:bookmarkStart w:id="7" w:name="注册邮编"/>
            <w:r>
              <w:t>618000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四川省德阳市绵竹市孝德镇忠孝场</w:t>
            </w:r>
            <w:bookmarkEnd w:id="8"/>
          </w:p>
        </w:tc>
        <w:tc>
          <w:tcPr>
            <w:tcW w:w="1242" w:type="dxa"/>
            <w:vMerge w:val="continue"/>
            <w:vAlign w:val="center"/>
          </w:tcPr>
          <w:p/>
        </w:tc>
        <w:tc>
          <w:tcPr>
            <w:tcW w:w="1771" w:type="dxa"/>
          </w:tcPr>
          <w:p>
            <w:bookmarkStart w:id="9" w:name="办公邮编"/>
            <w: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叶杨飞</w:t>
            </w:r>
            <w:bookmarkEnd w:id="13"/>
          </w:p>
        </w:tc>
        <w:tc>
          <w:tcPr>
            <w:tcW w:w="1313" w:type="dxa"/>
            <w:vAlign w:val="center"/>
          </w:tcPr>
          <w:p>
            <w:r>
              <w:rPr>
                <w:rFonts w:hint="eastAsia"/>
              </w:rPr>
              <w:t>管理者代表</w:t>
            </w:r>
          </w:p>
        </w:tc>
        <w:tc>
          <w:tcPr>
            <w:tcW w:w="2180" w:type="dxa"/>
          </w:tcPr>
          <w:p>
            <w:bookmarkStart w:id="14" w:name="管理者代表"/>
            <w:r>
              <w:t>胡红霞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4"/>
                <w:lang w:val="en-US" w:eastAsia="zh-CN"/>
              </w:rPr>
              <w:t>销售流程：</w:t>
            </w:r>
            <w:r>
              <w:rPr>
                <w:rFonts w:hint="eastAsia"/>
                <w:sz w:val="24"/>
              </w:rPr>
              <w:t>市场调查→项目评估→投标、邀标、商谈 →签订合同→产品采购验收→物资销售→客户验收→售后服务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2022年07月07日 上午至2022年07月07日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四川省德阳市绵竹市孝德镇忠孝场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Q：制服、工作服销售</w:t>
            </w:r>
          </w:p>
          <w:p>
            <w:r>
              <w:t>E：制服、工作服销售所涉及的相关环境管理活动</w:t>
            </w:r>
          </w:p>
          <w:p>
            <w:r>
              <w:t>O：制服、工作服销售所涉及的相关职业健康安全管理活动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Q：29.08.02</w:t>
            </w:r>
          </w:p>
          <w:p>
            <w:r>
              <w:t>E：29.08.02</w:t>
            </w:r>
          </w:p>
          <w:p>
            <w:r>
              <w:t>O：29.08.02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四川省德阳市绵竹市孝德镇忠孝场</w:t>
            </w:r>
          </w:p>
        </w:tc>
        <w:tc>
          <w:tcPr>
            <w:tcW w:w="2267" w:type="dxa"/>
          </w:tcPr>
          <w:p>
            <w:pPr>
              <w:rPr>
                <w:lang w:val="de-DE" w:eastAsia="ja-JP"/>
              </w:rPr>
            </w:pPr>
            <w:r>
              <w:rPr>
                <w:rFonts w:asciiTheme="minorEastAsia" w:hAnsiTheme="minorEastAsia" w:eastAsiaTheme="minorEastAsia"/>
                <w:sz w:val="20"/>
              </w:rPr>
              <w:t>四川省德阳市绵竹市孝德镇忠孝场</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Q：制服、工作服销售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四川省德阳市绵竹市孝德镇忠孝场</w:t>
            </w:r>
          </w:p>
        </w:tc>
        <w:tc>
          <w:tcPr>
            <w:tcW w:w="2267" w:type="dxa"/>
            <w:vAlign w:val="center"/>
          </w:tcPr>
          <w:p>
            <w:pPr>
              <w:rPr>
                <w:lang w:eastAsia="ja-JP"/>
              </w:rPr>
            </w:pPr>
            <w:r>
              <w:rPr>
                <w:rFonts w:asciiTheme="minorEastAsia" w:hAnsiTheme="minorEastAsia" w:eastAsiaTheme="minorEastAsia"/>
                <w:sz w:val="20"/>
              </w:rPr>
              <w:t>四川省德阳市绵竹市孝德镇忠孝场</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E：制服、工作服销售所涉及的相关环境管理活动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四川省德阳市绵竹市孝德镇忠孝场</w:t>
            </w:r>
          </w:p>
        </w:tc>
        <w:tc>
          <w:tcPr>
            <w:tcW w:w="2267" w:type="dxa"/>
            <w:vAlign w:val="center"/>
          </w:tcPr>
          <w:p>
            <w:pPr>
              <w:rPr>
                <w:lang w:eastAsia="ja-JP"/>
              </w:rPr>
            </w:pPr>
            <w:r>
              <w:rPr>
                <w:rFonts w:asciiTheme="minorEastAsia" w:hAnsiTheme="minorEastAsia" w:eastAsiaTheme="minorEastAsia"/>
                <w:sz w:val="20"/>
              </w:rPr>
              <w:t>四川省德阳市绵竹市孝德镇忠孝场</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O：制服、工作服销售所涉及的相关职业健康安全管理活动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Q:29.08.02</w:t>
            </w:r>
          </w:p>
          <w:p>
            <w:r>
              <w:t>E:29.08.02</w:t>
            </w:r>
          </w:p>
          <w:p>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对上次不符合“查2021年4月7日，公司对浙江台州雅特标志服饰有限公司销售的“夏单裤”的销售合同未形成合同评审记录，不符合”进行验证，不符合措施落实有效，不符合已经关闭。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4"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191135</wp:posOffset>
                  </wp:positionH>
                  <wp:positionV relativeFrom="paragraph">
                    <wp:posOffset>158115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ascii="宋体" w:hAnsi="宋体"/>
                <w:color w:val="000000"/>
                <w:sz w:val="24"/>
                <w:szCs w:val="21"/>
              </w:rPr>
              <w:t>精益求精 创“永盾服饰”新优势</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合同履约达到率100%</w:t>
                  </w:r>
                </w:p>
              </w:tc>
              <w:tc>
                <w:tcPr>
                  <w:tcW w:w="3136" w:type="dxa"/>
                  <w:shd w:val="clear" w:color="auto" w:fill="auto"/>
                  <w:vAlign w:val="top"/>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按时完成数/合同总数*100%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val="en-GB" w:eastAsia="zh-CN"/>
                    </w:rPr>
                  </w:pPr>
                  <w:r>
                    <w:rPr>
                      <w:rFonts w:hint="eastAsia" w:ascii="宋体" w:hAnsi="宋体" w:eastAsia="宋体" w:cs="Times New Roman"/>
                      <w:highlight w:val="none"/>
                      <w:lang w:val="en-US" w:eastAsia="zh-CN"/>
                    </w:rPr>
                    <w:t>行政部</w:t>
                  </w:r>
                </w:p>
              </w:tc>
              <w:tc>
                <w:tcPr>
                  <w:tcW w:w="1774" w:type="dxa"/>
                  <w:shd w:val="clear" w:color="auto" w:fill="auto"/>
                  <w:vAlign w:val="center"/>
                </w:tcPr>
                <w:p>
                  <w:pPr>
                    <w:shd w:val="clear" w:color="auto" w:fill="C7DAF1" w:themeFill="text2" w:themeFillTint="32"/>
                    <w:rPr>
                      <w:rFonts w:hint="eastAsia" w:ascii="宋体" w:hAnsi="宋体" w:eastAsia="宋体" w:cs="Times New Roman"/>
                      <w:highlight w:val="none"/>
                      <w:lang w:val="en-US" w:eastAsia="zh-CN"/>
                    </w:rPr>
                  </w:pPr>
                  <w:r>
                    <w:rPr>
                      <w:rFonts w:hint="eastAsia" w:ascii="宋体" w:hAnsi="宋体" w:eastAsia="宋体" w:cs="Times New Roman"/>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产品一次检验合格率98%</w:t>
                  </w:r>
                </w:p>
              </w:tc>
              <w:tc>
                <w:tcPr>
                  <w:tcW w:w="3136" w:type="dxa"/>
                  <w:shd w:val="clear" w:color="auto" w:fill="auto"/>
                  <w:vAlign w:val="top"/>
                </w:tcPr>
                <w:p>
                  <w:pPr>
                    <w:shd w:val="clear" w:color="auto" w:fill="C7DAF1" w:themeFill="text2" w:themeFillTint="32"/>
                    <w:rPr>
                      <w:rFonts w:hint="default" w:ascii="宋体" w:hAnsi="宋体" w:eastAsia="宋体" w:cs="Times New Roman"/>
                      <w:highlight w:val="none"/>
                      <w:lang w:val="en-US"/>
                    </w:rPr>
                  </w:pPr>
                  <w:r>
                    <w:rPr>
                      <w:rFonts w:hint="eastAsia" w:ascii="宋体" w:hAnsi="宋体" w:eastAsia="宋体" w:cs="Times New Roman"/>
                      <w:highlight w:val="none"/>
                    </w:rPr>
                    <w:t>检验合格数/检验总数*100%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eastAsia="宋体" w:cs="Times New Roman"/>
                      <w:highlight w:val="none"/>
                      <w:lang w:val="en-US" w:eastAsia="zh-CN"/>
                    </w:rPr>
                    <w:t>供销部</w:t>
                  </w:r>
                </w:p>
              </w:tc>
              <w:tc>
                <w:tcPr>
                  <w:tcW w:w="1774"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 xml:space="preserve">顾客满意率＞90% </w:t>
                  </w:r>
                </w:p>
              </w:tc>
              <w:tc>
                <w:tcPr>
                  <w:tcW w:w="3136" w:type="dxa"/>
                  <w:shd w:val="clear" w:color="auto" w:fill="auto"/>
                  <w:vAlign w:val="top"/>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满意率/总调查数</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lang w:val="en-US" w:eastAsia="zh-CN"/>
                    </w:rPr>
                    <w:t>行政部</w:t>
                  </w:r>
                </w:p>
              </w:tc>
              <w:tc>
                <w:tcPr>
                  <w:tcW w:w="1774"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100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电脑、打印机</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rFonts w:hint="eastAsia" w:eastAsia="宋体"/>
                      <w:sz w:val="20"/>
                      <w:lang w:eastAsia="zh-CN"/>
                    </w:rPr>
                    <w:t>制服、工作服销售</w:t>
                  </w:r>
                </w:p>
              </w:tc>
              <w:tc>
                <w:tcPr>
                  <w:tcW w:w="2543"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ascii="Times New Roman" w:hAnsi="Times New Roman" w:eastAsia="宋体" w:cs="Times New Roman"/>
                      <w:color w:val="auto"/>
                      <w:lang w:val="en-US" w:eastAsia="zh-CN"/>
                    </w:rPr>
                    <w:t>合同、金额</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u w:val="single"/>
                <w:lang w:val="en-US" w:eastAsia="zh-CN"/>
              </w:rPr>
              <w:t>销售服务过程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highlight w:val="none"/>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等。</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ascii="Times New Roman" w:hAnsi="Times New Roman" w:eastAsia="宋体" w:cs="Times New Roman"/>
              </w:rPr>
              <w:t>2022年 1月 15日实施了</w:t>
            </w:r>
            <w:r>
              <w:rPr>
                <w:rFonts w:hint="eastAsia"/>
                <w:highlight w:val="none"/>
              </w:rPr>
              <w:t>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w:t>
            </w:r>
            <w:r>
              <w:rPr>
                <w:rFonts w:hint="eastAsia" w:ascii="Times New Roman" w:hAnsi="Times New Roman" w:eastAsia="宋体" w:cs="Times New Roman"/>
              </w:rPr>
              <w:t>隔，在</w:t>
            </w:r>
            <w:r>
              <w:rPr>
                <w:rFonts w:hint="eastAsia" w:ascii="Times New Roman" w:hAnsi="Times New Roman" w:eastAsia="宋体" w:cs="Times New Roman"/>
                <w:u w:val="single"/>
              </w:rPr>
              <w:t>2022年 3月7 日</w:t>
            </w:r>
            <w:r>
              <w:rPr>
                <w:rFonts w:hint="eastAsia" w:ascii="Times New Roman" w:hAnsi="Times New Roman" w:eastAsia="宋体" w:cs="Times New Roman"/>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宋体" w:hAnsi="宋体"/>
                <w:color w:val="000000"/>
                <w:sz w:val="24"/>
                <w:szCs w:val="21"/>
              </w:rPr>
              <w:t>坚持走可持续发展之路，倡导绿色环保思想，遵守法律法规，从产品办公到服务的全过程中，实行污染预防和持续改进</w:t>
            </w:r>
            <w:r>
              <w:rPr>
                <w:rFonts w:hint="eastAsia" w:ascii="Times New Roman" w:hAnsi="Times New Roman" w:eastAsia="宋体" w:cs="Times New Roman"/>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固体废弃物分类收集处理率100%</w:t>
                  </w:r>
                </w:p>
              </w:tc>
              <w:tc>
                <w:tcPr>
                  <w:tcW w:w="2773"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火灾事故为0</w:t>
                  </w:r>
                </w:p>
              </w:tc>
              <w:tc>
                <w:tcPr>
                  <w:tcW w:w="27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100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电脑、打印机</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11</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bookmarkStart w:id="34" w:name="_GoBack"/>
            <w:bookmarkEnd w:id="34"/>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2022年1月15日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2022年3月7日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ascii="Times New Roman" w:hAnsi="Times New Roman" w:eastAsia="宋体" w:cs="Times New Roman"/>
                <w:u w:val="single"/>
                <w:lang w:val="en-GB" w:eastAsia="zh-CN"/>
              </w:rPr>
              <w:t>“</w:t>
            </w:r>
            <w:r>
              <w:rPr>
                <w:rFonts w:hint="eastAsia" w:ascii="宋体" w:hAnsi="宋体"/>
                <w:color w:val="000000"/>
                <w:sz w:val="24"/>
                <w:szCs w:val="21"/>
              </w:rPr>
              <w:t>保障健康、安全办公、以人为本、永续发展、遵守法规、持续改进</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eastAsia="zh-CN"/>
              </w:rPr>
              <w:t>刘彩虹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安全事故为0</w:t>
                  </w:r>
                </w:p>
              </w:tc>
              <w:tc>
                <w:tcPr>
                  <w:tcW w:w="2467"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火灾预防、火灾应急预案</w:t>
                  </w:r>
                </w:p>
              </w:tc>
              <w:tc>
                <w:tcPr>
                  <w:tcW w:w="1333"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行政部</w:t>
                  </w:r>
                </w:p>
              </w:tc>
              <w:tc>
                <w:tcPr>
                  <w:tcW w:w="2308" w:type="dxa"/>
                  <w:shd w:val="clear" w:color="auto" w:fill="auto"/>
                  <w:vAlign w:val="center"/>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火灾事故为0</w:t>
                  </w:r>
                </w:p>
              </w:tc>
              <w:tc>
                <w:tcPr>
                  <w:tcW w:w="2467" w:type="dxa"/>
                  <w:shd w:val="clear" w:color="auto" w:fill="auto"/>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安全管理方案</w:t>
                  </w:r>
                </w:p>
              </w:tc>
              <w:tc>
                <w:tcPr>
                  <w:tcW w:w="1333" w:type="dxa"/>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行政部</w:t>
                  </w:r>
                </w:p>
              </w:tc>
              <w:tc>
                <w:tcPr>
                  <w:tcW w:w="2308"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100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主要生产设备有：电脑、打印机等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11</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2022年</w:t>
            </w:r>
            <w:r>
              <w:rPr>
                <w:rFonts w:hint="eastAsia" w:ascii="Times New Roman" w:hAnsi="Times New Roman" w:cs="Times New Roman"/>
                <w:highlight w:val="none"/>
                <w:lang w:val="en-US" w:eastAsia="zh-CN"/>
              </w:rPr>
              <w:t>1</w:t>
            </w:r>
            <w:r>
              <w:rPr>
                <w:rFonts w:hint="eastAsia" w:ascii="Times New Roman" w:hAnsi="Times New Roman" w:eastAsia="宋体" w:cs="Times New Roman"/>
                <w:highlight w:val="none"/>
                <w:lang w:val="en-US" w:eastAsia="zh-CN"/>
              </w:rPr>
              <w:t>月</w:t>
            </w:r>
            <w:r>
              <w:rPr>
                <w:rFonts w:hint="eastAsia" w:ascii="Times New Roman" w:hAnsi="Times New Roman" w:cs="Times New Roman"/>
                <w:highlight w:val="none"/>
                <w:lang w:val="en-US" w:eastAsia="zh-CN"/>
              </w:rPr>
              <w:t>15</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2022年</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7</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58500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18635</Words>
  <Characters>19407</Characters>
  <Lines>150</Lines>
  <Paragraphs>42</Paragraphs>
  <TotalTime>4</TotalTime>
  <ScaleCrop>false</ScaleCrop>
  <LinksUpToDate>false</LinksUpToDate>
  <CharactersWithSpaces>19528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2022-07-15T14:56:47Z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