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孟村回族自治县德发铸造有限公司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河北省沧州市孟村回族自治县新县镇肖庄子工业区中段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办公地址：孟村县金都国际城4号楼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高建法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13903177591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908493703@qq.com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0883-2022-EO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E：钢管脚手架扣件、井盖、井篦子铸件、钢管脚手架镀锌钢跳板、钢筋套筒、钢格栅板、钢筋钢板网片、地脚螺栓、管件、管材的销售所涉及场所的相关环境管理活动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O：钢管脚手架扣件、井盖、井篦子铸件、钢管脚手架镀锌钢跳板、钢筋套筒、钢格栅板、钢筋钢板网片、地脚螺栓、管件、管材的销售所涉及场所的相关职业健康安全管理活动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2022年07月07日 上午至2022年07月08日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bookmarkStart w:id="36" w:name="_GoBack"/>
      <w:bookmarkEnd w:id="36"/>
      <w:r>
        <w:rPr>
          <w:rFonts w:hint="eastAsia" w:ascii="宋体" w:hAnsi="宋体" w:eastAsia="宋体"/>
          <w:b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-615950</wp:posOffset>
            </wp:positionV>
            <wp:extent cx="7022465" cy="9284335"/>
            <wp:effectExtent l="0" t="0" r="635" b="12065"/>
            <wp:wrapNone/>
            <wp:docPr id="1" name="图片 1" descr="微信图片_20220715160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51603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928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57"/>
        <w:gridCol w:w="1000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2022.7.7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：00-13：00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57" w:type="dxa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60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  <w:t>EMS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/OMS: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5.4员工参与和协商； 6.1.1策划总则；6.1.4措施的策划；6.2目标及其实现的策划；7.1资源、7.4沟通/信息交流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9.3管理评审；10.1改进 总则；10.3持续改进。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2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6012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  <w:t>EMS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/OMS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5.3组织的岗位、职责和权限、6.1.2环境因素/危险源的辨识与评价、6.1.3合规义务、6.2.1环境/职业健康安全目标、6.2.2实现环境/职业健康安全目标措施的策划、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7.2能力、7.3意识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7.5.1形成文件的信息总则、7.5.2形成文件的信息的创建和更新、7.5.3形成文件的信息的控制、8.1运行策划和控制、8.2应急准备和响应、9.1.1监测、分析和评估总则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9.1.2合规性评价、9.2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2022.7.8</w:t>
            </w:r>
          </w:p>
        </w:tc>
        <w:tc>
          <w:tcPr>
            <w:tcW w:w="145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8：00-10：00</w:t>
            </w: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质检部</w:t>
            </w:r>
          </w:p>
        </w:tc>
        <w:tc>
          <w:tcPr>
            <w:tcW w:w="6012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7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10：00-11：30</w:t>
            </w: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MS: 5.3组织的岗位、职责和权限、6.2环境与职业健康安全目标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、6.1.2环境因素/危险源辨识与评价、8.1运行策划和控制、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8.2应急准备和响应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11：30-12:00</w:t>
            </w:r>
          </w:p>
        </w:tc>
        <w:tc>
          <w:tcPr>
            <w:tcW w:w="7012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CC096F"/>
    <w:rsid w:val="0B3759A1"/>
    <w:rsid w:val="16D90271"/>
    <w:rsid w:val="1A4B0DF6"/>
    <w:rsid w:val="1B1B37AF"/>
    <w:rsid w:val="2A2B22A9"/>
    <w:rsid w:val="2C8A00A0"/>
    <w:rsid w:val="44E75555"/>
    <w:rsid w:val="504224BD"/>
    <w:rsid w:val="5EF603CA"/>
    <w:rsid w:val="668A7FF6"/>
    <w:rsid w:val="68B90674"/>
    <w:rsid w:val="69264077"/>
    <w:rsid w:val="695D50F2"/>
    <w:rsid w:val="6A974355"/>
    <w:rsid w:val="6DEF053B"/>
    <w:rsid w:val="75EF5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1874</Words>
  <Characters>2581</Characters>
  <Lines>37</Lines>
  <Paragraphs>10</Paragraphs>
  <TotalTime>0</TotalTime>
  <ScaleCrop>false</ScaleCrop>
  <LinksUpToDate>false</LinksUpToDate>
  <CharactersWithSpaces>2642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2022-07-15T08:05:46Z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