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0900-2022-QO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江西博澳铝模科技有限公司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江西博澳铝模科技有限公司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江西省宜春市樟树市药都科技产业园金属区兴业路28号</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江西省宜春市樟树市药都科技产业园金属区兴业路28号</w:t>
            </w:r>
            <w:bookmarkEnd w:id="8"/>
          </w:p>
        </w:tc>
        <w:tc>
          <w:tcPr>
            <w:tcW w:w="1242" w:type="dxa"/>
            <w:vMerge w:val="continue"/>
            <w:vAlign w:val="center"/>
          </w:tcPr>
          <w:p/>
        </w:tc>
        <w:tc>
          <w:tcPr>
            <w:tcW w:w="1771"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何俊</w:t>
            </w:r>
            <w:bookmarkEnd w:id="10"/>
          </w:p>
        </w:tc>
        <w:tc>
          <w:tcPr>
            <w:tcW w:w="1313" w:type="dxa"/>
            <w:vAlign w:val="center"/>
          </w:tcPr>
          <w:p>
            <w:r>
              <w:rPr>
                <w:rFonts w:hint="eastAsia"/>
              </w:rPr>
              <w:t>电话.</w:t>
            </w:r>
          </w:p>
        </w:tc>
        <w:tc>
          <w:tcPr>
            <w:tcW w:w="2180" w:type="dxa"/>
            <w:vAlign w:val="center"/>
          </w:tcPr>
          <w:p>
            <w:bookmarkStart w:id="11" w:name="联系人电话"/>
            <w:r>
              <w:t>0795-7889933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熊桂平</w:t>
            </w:r>
            <w:bookmarkEnd w:id="13"/>
          </w:p>
        </w:tc>
        <w:tc>
          <w:tcPr>
            <w:tcW w:w="1313" w:type="dxa"/>
            <w:vAlign w:val="center"/>
          </w:tcPr>
          <w:p>
            <w:r>
              <w:rPr>
                <w:rFonts w:hint="eastAsia"/>
              </w:rPr>
              <w:t>管理者代表</w:t>
            </w:r>
          </w:p>
        </w:tc>
        <w:tc>
          <w:tcPr>
            <w:tcW w:w="2180" w:type="dxa"/>
          </w:tcPr>
          <w:p>
            <w:bookmarkStart w:id="14" w:name="管理者代表"/>
            <w:r>
              <w:t>何俊</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开料——冲压——焊接——校正整型——喷涂——试拼装——验收</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2022年07月13日 上午至2022年07月16日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rFonts w:hint="eastAsia"/>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p>
          <w:p>
            <w:pPr>
              <w:rPr>
                <w:lang w:val="de-DE"/>
              </w:rPr>
            </w:pPr>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A3"/>
            </w:r>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Q：建筑铝合金模板的生产</w:t>
            </w:r>
          </w:p>
          <w:p>
            <w:r>
              <w:t>O：建筑铝合金模板的生产所涉及的职业健康安全管理活动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Q：17.12.05</w:t>
            </w:r>
          </w:p>
          <w:p>
            <w:r>
              <w:t>O：17.12.05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体系文件实施时间</w:t>
            </w:r>
          </w:p>
        </w:tc>
        <w:tc>
          <w:tcPr>
            <w:tcW w:w="2733" w:type="dxa"/>
          </w:tcPr>
          <w:p>
            <w:r>
              <w:rPr>
                <w:rFonts w:hint="eastAsia"/>
              </w:rPr>
              <w:t>2020年01月02日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日</w:t>
            </w:r>
            <w:r>
              <w:rPr>
                <w:rFonts w:hint="eastAsia"/>
                <w:lang w:eastAsia="zh-CN"/>
              </w:rPr>
              <w:t>一阶段</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江西博澳铝模科技有限公司</w:t>
            </w:r>
          </w:p>
          <w:p>
            <w:pPr>
              <w:pStyle w:val="2"/>
              <w:rPr>
                <w:lang w:val="de-DE" w:eastAsia="ja-JP"/>
              </w:rPr>
            </w:pPr>
            <w:r>
              <w:rPr>
                <w:rFonts w:hint="eastAsia"/>
                <w:lang w:val="de-DE" w:eastAsia="ja-JP"/>
              </w:rPr>
              <w:t>江西省宜春市樟树市药都科技产业园金属区兴业路28号</w:t>
            </w:r>
          </w:p>
        </w:tc>
        <w:tc>
          <w:tcPr>
            <w:tcW w:w="2267" w:type="dxa"/>
          </w:tcPr>
          <w:p>
            <w:pPr>
              <w:rPr>
                <w:lang w:val="de-DE" w:eastAsia="ja-JP"/>
              </w:rPr>
            </w:pPr>
            <w:r>
              <w:rPr>
                <w:rFonts w:hint="eastAsia"/>
                <w:lang w:val="de-DE" w:eastAsia="ja-JP"/>
              </w:rPr>
              <w:t>江西省宜春市樟树市药都科技产业园金属区兴业路28号</w:t>
            </w:r>
          </w:p>
        </w:tc>
        <w:tc>
          <w:tcPr>
            <w:tcW w:w="571" w:type="dxa"/>
            <w:vAlign w:val="center"/>
          </w:tcPr>
          <w:p>
            <w:pPr>
              <w:rPr>
                <w:rFonts w:hint="default" w:eastAsia="宋体"/>
                <w:lang w:val="en-US" w:eastAsia="zh-CN"/>
              </w:rPr>
            </w:pPr>
            <w:r>
              <w:rPr>
                <w:rFonts w:hint="eastAsia"/>
                <w:lang w:val="en-US" w:eastAsia="zh-CN"/>
              </w:rPr>
              <w:t>45</w:t>
            </w:r>
          </w:p>
        </w:tc>
        <w:tc>
          <w:tcPr>
            <w:tcW w:w="2803" w:type="dxa"/>
            <w:vAlign w:val="center"/>
          </w:tcPr>
          <w:p>
            <w:pPr>
              <w:rPr>
                <w:lang w:eastAsia="ja-JP"/>
              </w:rPr>
            </w:pPr>
            <w:r>
              <w:rPr>
                <w:rFonts w:hint="eastAsia"/>
                <w:lang w:eastAsia="ja-JP"/>
              </w:rPr>
              <w:t>建筑铝合金模板的生产</w:t>
            </w:r>
          </w:p>
        </w:tc>
        <w:tc>
          <w:tcPr>
            <w:tcW w:w="669" w:type="dxa"/>
            <w:vAlign w:val="center"/>
          </w:tcPr>
          <w:p>
            <w:pPr>
              <w:rPr>
                <w:rFonts w:hint="default" w:eastAsia="宋体"/>
                <w:lang w:val="en-US" w:eastAsia="zh-CN"/>
              </w:rPr>
            </w:pPr>
            <w:r>
              <w:rPr>
                <w:rFonts w:hint="eastAsia"/>
                <w:lang w:val="en-US" w:eastAsia="zh-CN"/>
              </w:rPr>
              <w:t>QO</w:t>
            </w:r>
          </w:p>
        </w:tc>
        <w:tc>
          <w:tcPr>
            <w:tcW w:w="668" w:type="dxa"/>
            <w:shd w:val="clear" w:color="auto" w:fill="FFFFFF"/>
          </w:tcPr>
          <w:p>
            <w:pPr>
              <w:rPr>
                <w:rFonts w:hint="eastAsia" w:eastAsia="宋体"/>
                <w:lang w:eastAsia="zh-CN"/>
              </w:rPr>
            </w:pPr>
            <w:r>
              <w:rPr>
                <w:rFonts w:hint="eastAsia"/>
                <w:lang w:eastAsia="zh-CN"/>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bl>
    <w:p/>
    <w:p>
      <w:r>
        <w:rPr>
          <w:rFonts w:hint="eastAsia"/>
        </w:rPr>
        <w:t>三、任何影响审核方案的重要事项：</w:t>
      </w: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408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408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8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845"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089"/>
        <w:gridCol w:w="711"/>
        <w:gridCol w:w="3870"/>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45"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31"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344"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31"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2019-N1OHSMS-2068076</w:t>
            </w:r>
          </w:p>
        </w:tc>
        <w:tc>
          <w:tcPr>
            <w:tcW w:w="2344" w:type="dxa"/>
            <w:vAlign w:val="center"/>
          </w:tcPr>
          <w:p>
            <w:r>
              <w:t>Q:17.12.05</w:t>
            </w:r>
          </w:p>
          <w:p>
            <w:r>
              <w:t>O:17.12.05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31" w:type="dxa"/>
            <w:vAlign w:val="center"/>
          </w:tcPr>
          <w:p/>
        </w:tc>
        <w:tc>
          <w:tcPr>
            <w:tcW w:w="1089" w:type="dxa"/>
            <w:vAlign w:val="center"/>
          </w:tcPr>
          <w:p/>
        </w:tc>
        <w:tc>
          <w:tcPr>
            <w:tcW w:w="711" w:type="dxa"/>
            <w:vAlign w:val="center"/>
          </w:tcPr>
          <w:p/>
        </w:tc>
        <w:tc>
          <w:tcPr>
            <w:tcW w:w="3870" w:type="dxa"/>
            <w:vAlign w:val="center"/>
          </w:tcPr>
          <w:p/>
        </w:tc>
        <w:tc>
          <w:tcPr>
            <w:tcW w:w="234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831" w:type="dxa"/>
            <w:vAlign w:val="center"/>
          </w:tcPr>
          <w:p/>
        </w:tc>
        <w:tc>
          <w:tcPr>
            <w:tcW w:w="1089" w:type="dxa"/>
            <w:vAlign w:val="center"/>
          </w:tcPr>
          <w:p/>
        </w:tc>
        <w:tc>
          <w:tcPr>
            <w:tcW w:w="711" w:type="dxa"/>
            <w:vAlign w:val="center"/>
          </w:tcPr>
          <w:p/>
        </w:tc>
        <w:tc>
          <w:tcPr>
            <w:tcW w:w="3870" w:type="dxa"/>
            <w:vAlign w:val="center"/>
          </w:tcPr>
          <w:p/>
        </w:tc>
        <w:tc>
          <w:tcPr>
            <w:tcW w:w="234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31" w:type="dxa"/>
            <w:vAlign w:val="center"/>
          </w:tcPr>
          <w:p/>
        </w:tc>
        <w:tc>
          <w:tcPr>
            <w:tcW w:w="1089" w:type="dxa"/>
            <w:vAlign w:val="center"/>
          </w:tcPr>
          <w:p/>
        </w:tc>
        <w:tc>
          <w:tcPr>
            <w:tcW w:w="711" w:type="dxa"/>
            <w:vAlign w:val="center"/>
          </w:tcPr>
          <w:p/>
        </w:tc>
        <w:tc>
          <w:tcPr>
            <w:tcW w:w="3870" w:type="dxa"/>
            <w:vAlign w:val="center"/>
          </w:tcPr>
          <w:p/>
        </w:tc>
        <w:tc>
          <w:tcPr>
            <w:tcW w:w="234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31" w:type="dxa"/>
            <w:vAlign w:val="center"/>
          </w:tcPr>
          <w:p/>
        </w:tc>
        <w:tc>
          <w:tcPr>
            <w:tcW w:w="1089" w:type="dxa"/>
            <w:vAlign w:val="center"/>
          </w:tcPr>
          <w:p/>
        </w:tc>
        <w:tc>
          <w:tcPr>
            <w:tcW w:w="711" w:type="dxa"/>
            <w:vAlign w:val="center"/>
          </w:tcPr>
          <w:p/>
        </w:tc>
        <w:tc>
          <w:tcPr>
            <w:tcW w:w="3870" w:type="dxa"/>
            <w:vAlign w:val="center"/>
          </w:tcPr>
          <w:p/>
        </w:tc>
        <w:tc>
          <w:tcPr>
            <w:tcW w:w="234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31" w:type="dxa"/>
            <w:vAlign w:val="center"/>
          </w:tcPr>
          <w:p/>
        </w:tc>
        <w:tc>
          <w:tcPr>
            <w:tcW w:w="1089" w:type="dxa"/>
            <w:vAlign w:val="center"/>
          </w:tcPr>
          <w:p/>
        </w:tc>
        <w:tc>
          <w:tcPr>
            <w:tcW w:w="711" w:type="dxa"/>
            <w:vAlign w:val="center"/>
          </w:tcPr>
          <w:p/>
        </w:tc>
        <w:tc>
          <w:tcPr>
            <w:tcW w:w="3870" w:type="dxa"/>
            <w:vAlign w:val="center"/>
          </w:tcPr>
          <w:p/>
        </w:tc>
        <w:tc>
          <w:tcPr>
            <w:tcW w:w="234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45"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31"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344"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31" w:type="dxa"/>
            <w:vAlign w:val="center"/>
          </w:tcPr>
          <w:p/>
        </w:tc>
        <w:tc>
          <w:tcPr>
            <w:tcW w:w="1089" w:type="dxa"/>
            <w:vAlign w:val="center"/>
          </w:tcPr>
          <w:p/>
        </w:tc>
        <w:tc>
          <w:tcPr>
            <w:tcW w:w="711" w:type="dxa"/>
            <w:vAlign w:val="center"/>
          </w:tcPr>
          <w:p/>
        </w:tc>
        <w:tc>
          <w:tcPr>
            <w:tcW w:w="3870" w:type="dxa"/>
            <w:vAlign w:val="center"/>
          </w:tcPr>
          <w:p/>
        </w:tc>
        <w:tc>
          <w:tcPr>
            <w:tcW w:w="234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31" w:type="dxa"/>
            <w:vAlign w:val="center"/>
          </w:tcPr>
          <w:p/>
        </w:tc>
        <w:tc>
          <w:tcPr>
            <w:tcW w:w="1089" w:type="dxa"/>
            <w:vAlign w:val="center"/>
          </w:tcPr>
          <w:p/>
        </w:tc>
        <w:tc>
          <w:tcPr>
            <w:tcW w:w="711" w:type="dxa"/>
            <w:vAlign w:val="center"/>
          </w:tcPr>
          <w:p/>
        </w:tc>
        <w:tc>
          <w:tcPr>
            <w:tcW w:w="3870" w:type="dxa"/>
            <w:vAlign w:val="center"/>
          </w:tcPr>
          <w:p/>
        </w:tc>
        <w:tc>
          <w:tcPr>
            <w:tcW w:w="2344" w:type="dxa"/>
            <w:vAlign w:val="center"/>
          </w:tcPr>
          <w:p/>
        </w:tc>
      </w:tr>
    </w:tbl>
    <w:p/>
    <w:p>
      <w:r>
        <w:rPr>
          <w:rFonts w:hint="eastAsia"/>
        </w:rPr>
        <w:t>六、上次审核后发生的影响组织管理体系的重要变更（适用时）</w:t>
      </w:r>
    </w:p>
    <w:tbl>
      <w:tblPr>
        <w:tblStyle w:val="9"/>
        <w:tblW w:w="987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right"/>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right"/>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right"/>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right"/>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right"/>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right"/>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right"/>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right"/>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right"/>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right"/>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right"/>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w:t>
      </w:r>
      <w:r>
        <w:rPr>
          <w:rFonts w:hint="eastAsia"/>
        </w:rPr>
        <w:sym w:font="Wingdings 2" w:char="0052"/>
      </w:r>
      <w:r>
        <w:rPr>
          <w:rFonts w:hint="eastAsia"/>
        </w:rPr>
        <w:t>OHSMS）</w:t>
      </w:r>
    </w:p>
    <w:tbl>
      <w:tblPr>
        <w:tblStyle w:val="10"/>
        <w:tblW w:w="9886"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8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shd w:val="clear" w:color="auto" w:fill="D7D7D7" w:themeFill="background1" w:themeFillShade="D8"/>
          </w:tcPr>
          <w:p>
            <w:r>
              <w:rPr>
                <w:rFonts w:hint="eastAsia"/>
              </w:rPr>
              <w:t>审核周期</w:t>
            </w:r>
          </w:p>
        </w:tc>
        <w:tc>
          <w:tcPr>
            <w:tcW w:w="8751" w:type="dxa"/>
            <w:shd w:val="clear" w:color="auto" w:fill="D7D7D7" w:themeFill="background1" w:themeFillShade="D8"/>
          </w:tcPr>
          <w:p>
            <w:r>
              <w:rPr>
                <w:rFonts w:hint="eastAsia"/>
              </w:rPr>
              <w:t>□体系建立以来□定期（近一年）□其他</w:t>
            </w:r>
          </w:p>
        </w:tc>
      </w:tr>
    </w:tbl>
    <w:tbl>
      <w:tblPr>
        <w:tblStyle w:val="9"/>
        <w:tblW w:w="99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3058"/>
        <w:gridCol w:w="6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right"/>
        </w:trPr>
        <w:tc>
          <w:tcPr>
            <w:tcW w:w="3058" w:type="dxa"/>
            <w:tcBorders>
              <w:top w:val="single" w:color="auto" w:sz="4" w:space="0"/>
              <w:left w:val="single" w:color="auto" w:sz="4" w:space="0"/>
              <w:bottom w:val="single" w:color="auto" w:sz="4" w:space="0"/>
              <w:right w:val="single" w:color="auto" w:sz="4" w:space="0"/>
            </w:tcBorders>
            <w:shd w:val="clear" w:color="auto" w:fill="auto"/>
          </w:tcPr>
          <w:p/>
        </w:tc>
        <w:tc>
          <w:tcPr>
            <w:tcW w:w="6842" w:type="dxa"/>
            <w:tcBorders>
              <w:top w:val="single" w:color="auto" w:sz="4" w:space="0"/>
              <w:left w:val="single" w:color="auto" w:sz="4" w:space="0"/>
              <w:bottom w:val="single" w:color="auto" w:sz="4" w:space="0"/>
              <w:right w:val="single" w:color="auto" w:sz="4" w:space="0"/>
            </w:tcBorders>
            <w:shd w:val="clear" w:color="auto" w:fill="auto"/>
          </w:tcPr>
          <w:p>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right"/>
        </w:trPr>
        <w:tc>
          <w:tcPr>
            <w:tcW w:w="3058"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6842"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3058"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6842"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right"/>
        </w:trPr>
        <w:tc>
          <w:tcPr>
            <w:tcW w:w="3058"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6842"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3058"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6842"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3058"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6842"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9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422"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4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4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422"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pPr>
        <w:pStyle w:val="2"/>
      </w:pPr>
    </w:p>
    <w:p>
      <w:pPr>
        <w:pStyle w:val="2"/>
      </w:pPr>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077"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2"/>
        <w:gridCol w:w="2873"/>
        <w:gridCol w:w="2764"/>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32" w:type="dxa"/>
            <w:vAlign w:val="center"/>
          </w:tcPr>
          <w:p>
            <w:pPr>
              <w:rPr>
                <w:rFonts w:ascii="宋体"/>
                <w:b/>
                <w:color w:val="0000FF"/>
                <w:szCs w:val="21"/>
              </w:rPr>
            </w:pPr>
            <w:r>
              <w:rPr>
                <w:rFonts w:hint="eastAsia" w:ascii="宋体"/>
                <w:b/>
                <w:color w:val="0000FF"/>
                <w:szCs w:val="21"/>
              </w:rPr>
              <w:t>突发事件的处置措施</w:t>
            </w:r>
          </w:p>
        </w:tc>
        <w:tc>
          <w:tcPr>
            <w:tcW w:w="8345"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exact"/>
        </w:trPr>
        <w:tc>
          <w:tcPr>
            <w:tcW w:w="1732" w:type="dxa"/>
            <w:vMerge w:val="restart"/>
            <w:vAlign w:val="center"/>
          </w:tcPr>
          <w:p>
            <w:pPr>
              <w:rPr>
                <w:rFonts w:ascii="宋体"/>
                <w:b/>
                <w:color w:val="0000FF"/>
                <w:szCs w:val="21"/>
              </w:rPr>
            </w:pPr>
            <w:r>
              <w:rPr>
                <w:rFonts w:hint="eastAsia"/>
                <w:b/>
                <w:bCs/>
                <w:color w:val="0000FF"/>
              </w:rPr>
              <w:t>远程审核的有效性评价（适用时）</w:t>
            </w:r>
          </w:p>
        </w:tc>
        <w:tc>
          <w:tcPr>
            <w:tcW w:w="8345"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732" w:type="dxa"/>
            <w:vMerge w:val="continue"/>
            <w:vAlign w:val="center"/>
          </w:tcPr>
          <w:p>
            <w:pPr>
              <w:rPr>
                <w:rFonts w:ascii="宋体"/>
                <w:b/>
                <w:color w:val="0000FF"/>
                <w:szCs w:val="21"/>
              </w:rPr>
            </w:pPr>
          </w:p>
        </w:tc>
        <w:tc>
          <w:tcPr>
            <w:tcW w:w="8345"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9" w:hRule="exact"/>
        </w:trPr>
        <w:tc>
          <w:tcPr>
            <w:tcW w:w="1732" w:type="dxa"/>
            <w:vAlign w:val="center"/>
          </w:tcPr>
          <w:p>
            <w:pPr>
              <w:jc w:val="both"/>
            </w:pPr>
            <w:r>
              <w:rPr>
                <w:rFonts w:hint="eastAsia"/>
              </w:rPr>
              <w:t>审核组长签字</w:t>
            </w:r>
          </w:p>
        </w:tc>
        <w:tc>
          <w:tcPr>
            <w:tcW w:w="2873" w:type="dxa"/>
            <w:tcMar>
              <w:left w:w="113" w:type="dxa"/>
            </w:tcMar>
            <w:vAlign w:val="center"/>
          </w:tcPr>
          <w:p>
            <w:pPr>
              <w:jc w:val="both"/>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284480</wp:posOffset>
                  </wp:positionH>
                  <wp:positionV relativeFrom="paragraph">
                    <wp:posOffset>63500</wp:posOffset>
                  </wp:positionV>
                  <wp:extent cx="787400" cy="474345"/>
                  <wp:effectExtent l="0" t="0" r="12700" b="190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87400" cy="474345"/>
                          </a:xfrm>
                          <a:prstGeom prst="rect">
                            <a:avLst/>
                          </a:prstGeom>
                          <a:noFill/>
                          <a:ln>
                            <a:noFill/>
                          </a:ln>
                        </pic:spPr>
                      </pic:pic>
                    </a:graphicData>
                  </a:graphic>
                </wp:anchor>
              </w:drawing>
            </w:r>
          </w:p>
          <w:p>
            <w:pPr>
              <w:jc w:val="both"/>
            </w:pPr>
          </w:p>
        </w:tc>
        <w:tc>
          <w:tcPr>
            <w:tcW w:w="2764" w:type="dxa"/>
            <w:tcMar>
              <w:left w:w="113" w:type="dxa"/>
            </w:tcMar>
            <w:vAlign w:val="center"/>
          </w:tcPr>
          <w:p>
            <w:pPr>
              <w:jc w:val="both"/>
            </w:pPr>
            <w:r>
              <w:rPr>
                <w:rFonts w:hint="eastAsia"/>
              </w:rPr>
              <w:t>日期</w:t>
            </w:r>
          </w:p>
        </w:tc>
        <w:tc>
          <w:tcPr>
            <w:tcW w:w="2708" w:type="dxa"/>
            <w:tcMar>
              <w:left w:w="113" w:type="dxa"/>
            </w:tcMar>
            <w:vAlign w:val="center"/>
          </w:tcPr>
          <w:p>
            <w:pPr>
              <w:jc w:val="both"/>
              <w:rPr>
                <w:rFonts w:hint="default" w:ascii="宋体" w:eastAsia="宋体"/>
                <w:b/>
                <w:color w:val="0000FF"/>
                <w:szCs w:val="21"/>
                <w:lang w:val="en-US" w:eastAsia="zh-CN"/>
              </w:rPr>
            </w:pPr>
            <w:r>
              <w:rPr>
                <w:rFonts w:hint="eastAsia" w:ascii="宋体"/>
                <w:b/>
                <w:color w:val="0000FF"/>
                <w:szCs w:val="21"/>
                <w:lang w:val="en-US" w:eastAsia="zh-CN"/>
              </w:rPr>
              <w:t>2022.7.18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br w:type="page"/>
      </w: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质量至上、持续创新、诚实守信、顾客至上</w:t>
            </w:r>
          </w:p>
          <w:p>
            <w:pPr>
              <w:shd w:val="clear" w:color="auto" w:fill="C7DAF1" w:themeFill="text2" w:themeFillTint="32"/>
              <w:rPr>
                <w:u w:val="single"/>
              </w:rPr>
            </w:pPr>
            <w:r>
              <w:rPr>
                <w:rFonts w:hint="eastAsia"/>
                <w:u w:val="single"/>
              </w:rPr>
              <w:t>预防为主，降低风险；遵章守法，创造和谐</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主材价格波动成本增加的风险，地产行业发展不景气、资金周转困难</w:t>
                  </w:r>
                </w:p>
              </w:tc>
              <w:tc>
                <w:tcPr>
                  <w:tcW w:w="3965" w:type="dxa"/>
                </w:tcPr>
                <w:p>
                  <w:pPr>
                    <w:shd w:val="clear" w:color="auto" w:fill="C7DAF1" w:themeFill="text2" w:themeFillTint="32"/>
                    <w:rPr>
                      <w:rFonts w:hint="eastAsia" w:eastAsia="宋体"/>
                      <w:lang w:eastAsia="zh-CN"/>
                    </w:rPr>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4"/>
              <w:gridCol w:w="2754"/>
              <w:gridCol w:w="1173"/>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754"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73"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40"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shd w:val="clear" w:color="auto" w:fill="auto"/>
                  <w:vAlign w:val="top"/>
                </w:tcPr>
                <w:p>
                  <w:pPr>
                    <w:spacing w:after="0"/>
                    <w:rPr>
                      <w:rFonts w:hint="eastAsia"/>
                      <w:lang w:val="en-US" w:eastAsia="zh-CN"/>
                    </w:rPr>
                  </w:pPr>
                  <w:r>
                    <w:rPr>
                      <w:rFonts w:hint="eastAsia"/>
                    </w:rPr>
                    <w:t>产品出厂合格率100%</w:t>
                  </w:r>
                </w:p>
              </w:tc>
              <w:tc>
                <w:tcPr>
                  <w:tcW w:w="2754" w:type="dxa"/>
                  <w:shd w:val="clear" w:color="auto" w:fill="auto"/>
                  <w:vAlign w:val="top"/>
                </w:tcPr>
                <w:p>
                  <w:pPr>
                    <w:spacing w:after="0"/>
                    <w:rPr>
                      <w:rFonts w:ascii="Times New Roman" w:hAnsi="Times New Roman" w:eastAsia="宋体" w:cs="Times New Roman"/>
                      <w:kern w:val="2"/>
                      <w:sz w:val="21"/>
                      <w:szCs w:val="24"/>
                      <w:lang w:val="en-GB" w:eastAsia="zh-CN" w:bidi="ar-SA"/>
                    </w:rPr>
                  </w:pPr>
                  <w:r>
                    <w:rPr>
                      <w:rFonts w:hint="eastAsia"/>
                    </w:rPr>
                    <w:t>合格数÷总数×</w:t>
                  </w:r>
                  <w:r>
                    <w:t>100%</w:t>
                  </w:r>
                </w:p>
              </w:tc>
              <w:tc>
                <w:tcPr>
                  <w:tcW w:w="1173" w:type="dxa"/>
                  <w:shd w:val="clear" w:color="auto" w:fill="auto"/>
                  <w:vAlign w:val="center"/>
                </w:tcPr>
                <w:p>
                  <w:pPr>
                    <w:shd w:val="clear" w:color="auto" w:fill="C7DAF1" w:themeFill="text2" w:themeFillTint="32"/>
                    <w:rPr>
                      <w:lang w:val="en-GB"/>
                    </w:rPr>
                  </w:pPr>
                </w:p>
              </w:tc>
              <w:tc>
                <w:tcPr>
                  <w:tcW w:w="1640"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shd w:val="clear" w:color="auto" w:fill="auto"/>
                  <w:vAlign w:val="top"/>
                </w:tcPr>
                <w:p>
                  <w:pPr>
                    <w:spacing w:after="0"/>
                    <w:rPr>
                      <w:rFonts w:hint="eastAsia"/>
                      <w:lang w:val="en-US" w:eastAsia="zh-CN"/>
                    </w:rPr>
                  </w:pPr>
                  <w:r>
                    <w:rPr>
                      <w:rFonts w:hint="eastAsia"/>
                    </w:rPr>
                    <w:t>顾客满意度95%以上</w:t>
                  </w:r>
                </w:p>
              </w:tc>
              <w:tc>
                <w:tcPr>
                  <w:tcW w:w="2754" w:type="dxa"/>
                  <w:shd w:val="clear" w:color="auto" w:fill="auto"/>
                  <w:vAlign w:val="top"/>
                </w:tcPr>
                <w:p>
                  <w:pPr>
                    <w:spacing w:after="0"/>
                    <w:rPr>
                      <w:rFonts w:ascii="Times New Roman" w:hAnsi="Times New Roman" w:eastAsia="宋体" w:cs="Times New Roman"/>
                      <w:color w:val="auto"/>
                      <w:kern w:val="2"/>
                      <w:sz w:val="21"/>
                      <w:szCs w:val="24"/>
                      <w:lang w:val="en-US" w:eastAsia="zh-CN" w:bidi="ar-SA"/>
                    </w:rPr>
                  </w:pPr>
                  <w:r>
                    <w:rPr>
                      <w:rFonts w:hint="eastAsia"/>
                      <w:color w:val="auto"/>
                    </w:rPr>
                    <w:t>执行顾客满意度调查分析</w:t>
                  </w:r>
                </w:p>
              </w:tc>
              <w:tc>
                <w:tcPr>
                  <w:tcW w:w="1173" w:type="dxa"/>
                  <w:shd w:val="clear" w:color="auto" w:fill="auto"/>
                  <w:vAlign w:val="center"/>
                </w:tcPr>
                <w:p>
                  <w:pPr>
                    <w:shd w:val="clear" w:color="auto" w:fill="C7DAF1" w:themeFill="text2" w:themeFillTint="32"/>
                    <w:rPr>
                      <w:rFonts w:ascii="宋体" w:hAnsi="宋体"/>
                    </w:rPr>
                  </w:pPr>
                </w:p>
              </w:tc>
              <w:tc>
                <w:tcPr>
                  <w:tcW w:w="1640"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shd w:val="clear" w:color="auto" w:fill="auto"/>
                </w:tcPr>
                <w:p>
                  <w:pPr>
                    <w:shd w:val="clear" w:color="auto" w:fill="C7DAF1" w:themeFill="text2" w:themeFillTint="32"/>
                  </w:pPr>
                </w:p>
              </w:tc>
              <w:tc>
                <w:tcPr>
                  <w:tcW w:w="2754" w:type="dxa"/>
                  <w:shd w:val="clear" w:color="auto" w:fill="auto"/>
                  <w:vAlign w:val="center"/>
                </w:tcPr>
                <w:p>
                  <w:pPr>
                    <w:shd w:val="clear" w:color="auto" w:fill="C7DAF1" w:themeFill="text2" w:themeFillTint="32"/>
                    <w:rPr>
                      <w:rFonts w:ascii="宋体" w:hAnsi="宋体"/>
                    </w:rPr>
                  </w:pPr>
                </w:p>
              </w:tc>
              <w:tc>
                <w:tcPr>
                  <w:tcW w:w="1173" w:type="dxa"/>
                  <w:shd w:val="clear" w:color="auto" w:fill="auto"/>
                  <w:vAlign w:val="center"/>
                </w:tcPr>
                <w:p>
                  <w:pPr>
                    <w:shd w:val="clear" w:color="auto" w:fill="C7DAF1" w:themeFill="text2" w:themeFillTint="32"/>
                    <w:rPr>
                      <w:rFonts w:ascii="宋体" w:hAnsi="宋体"/>
                    </w:rPr>
                  </w:pPr>
                </w:p>
              </w:tc>
              <w:tc>
                <w:tcPr>
                  <w:tcW w:w="1640"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shd w:val="clear" w:color="auto" w:fill="auto"/>
                </w:tcPr>
                <w:p>
                  <w:pPr>
                    <w:shd w:val="clear" w:color="auto" w:fill="C7DAF1" w:themeFill="text2" w:themeFillTint="32"/>
                  </w:pPr>
                </w:p>
              </w:tc>
              <w:tc>
                <w:tcPr>
                  <w:tcW w:w="2754" w:type="dxa"/>
                  <w:shd w:val="clear" w:color="auto" w:fill="auto"/>
                  <w:vAlign w:val="center"/>
                </w:tcPr>
                <w:p>
                  <w:pPr>
                    <w:shd w:val="clear" w:color="auto" w:fill="C7DAF1" w:themeFill="text2" w:themeFillTint="32"/>
                    <w:rPr>
                      <w:rFonts w:ascii="宋体" w:hAnsi="宋体"/>
                    </w:rPr>
                  </w:pPr>
                </w:p>
              </w:tc>
              <w:tc>
                <w:tcPr>
                  <w:tcW w:w="1173" w:type="dxa"/>
                  <w:shd w:val="clear" w:color="auto" w:fill="auto"/>
                  <w:vAlign w:val="center"/>
                </w:tcPr>
                <w:p>
                  <w:pPr>
                    <w:shd w:val="clear" w:color="auto" w:fill="C7DAF1" w:themeFill="text2" w:themeFillTint="32"/>
                    <w:rPr>
                      <w:rFonts w:ascii="宋体" w:hAnsi="宋体"/>
                    </w:rPr>
                  </w:pPr>
                </w:p>
              </w:tc>
              <w:tc>
                <w:tcPr>
                  <w:tcW w:w="1640"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shd w:val="clear" w:color="auto" w:fill="auto"/>
                </w:tcPr>
                <w:p>
                  <w:pPr>
                    <w:shd w:val="clear" w:color="auto" w:fill="C7DAF1" w:themeFill="text2" w:themeFillTint="32"/>
                  </w:pPr>
                </w:p>
              </w:tc>
              <w:tc>
                <w:tcPr>
                  <w:tcW w:w="2754" w:type="dxa"/>
                  <w:shd w:val="clear" w:color="auto" w:fill="auto"/>
                  <w:vAlign w:val="center"/>
                </w:tcPr>
                <w:p>
                  <w:pPr>
                    <w:shd w:val="clear" w:color="auto" w:fill="C7DAF1" w:themeFill="text2" w:themeFillTint="32"/>
                    <w:rPr>
                      <w:rFonts w:ascii="宋体" w:hAnsi="宋体"/>
                    </w:rPr>
                  </w:pPr>
                </w:p>
              </w:tc>
              <w:tc>
                <w:tcPr>
                  <w:tcW w:w="1173" w:type="dxa"/>
                  <w:shd w:val="clear" w:color="auto" w:fill="auto"/>
                  <w:vAlign w:val="center"/>
                </w:tcPr>
                <w:p>
                  <w:pPr>
                    <w:shd w:val="clear" w:color="auto" w:fill="C7DAF1" w:themeFill="text2" w:themeFillTint="32"/>
                    <w:rPr>
                      <w:rFonts w:ascii="宋体" w:hAnsi="宋体"/>
                    </w:rPr>
                  </w:pPr>
                </w:p>
              </w:tc>
              <w:tc>
                <w:tcPr>
                  <w:tcW w:w="1640"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建筑面积35000平方米；生产车间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断料机、排冲、冲床、焊机、整型机、喷粉机</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游标卡尺、卷尺</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A3"/>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2114"/>
              <w:gridCol w:w="2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pPr>
                    <w:shd w:val="clear" w:color="auto" w:fill="C7DAF1" w:themeFill="text2" w:themeFillTint="32"/>
                    <w:jc w:val="left"/>
                  </w:pPr>
                  <w:r>
                    <w:rPr>
                      <w:rFonts w:hint="eastAsia"/>
                    </w:rPr>
                    <w:t>产品/服务名称</w:t>
                  </w:r>
                </w:p>
              </w:tc>
              <w:tc>
                <w:tcPr>
                  <w:tcW w:w="2114" w:type="dxa"/>
                </w:tcPr>
                <w:p>
                  <w:pPr>
                    <w:shd w:val="clear" w:color="auto" w:fill="C7DAF1" w:themeFill="text2" w:themeFillTint="32"/>
                    <w:jc w:val="left"/>
                  </w:pPr>
                  <w:r>
                    <w:rPr>
                      <w:rFonts w:hint="eastAsia"/>
                    </w:rPr>
                    <w:t>关键过程</w:t>
                  </w:r>
                </w:p>
              </w:tc>
              <w:tc>
                <w:tcPr>
                  <w:tcW w:w="2788"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pPr>
                    <w:shd w:val="clear" w:color="auto" w:fill="C7DAF1" w:themeFill="text2" w:themeFillTint="32"/>
                    <w:jc w:val="left"/>
                  </w:pPr>
                  <w:r>
                    <w:rPr>
                      <w:rFonts w:hint="eastAsia"/>
                    </w:rPr>
                    <w:t>建筑铝合金模板的生产</w:t>
                  </w:r>
                </w:p>
              </w:tc>
              <w:tc>
                <w:tcPr>
                  <w:tcW w:w="2114" w:type="dxa"/>
                </w:tcPr>
                <w:p>
                  <w:pPr>
                    <w:shd w:val="clear" w:color="auto" w:fill="C7DAF1" w:themeFill="text2" w:themeFillTint="32"/>
                    <w:jc w:val="left"/>
                    <w:rPr>
                      <w:rFonts w:hint="eastAsia" w:eastAsia="宋体"/>
                      <w:lang w:eastAsia="zh-CN"/>
                    </w:rPr>
                  </w:pPr>
                  <w:r>
                    <w:rPr>
                      <w:rFonts w:hint="eastAsia"/>
                      <w:lang w:eastAsia="zh-CN"/>
                    </w:rPr>
                    <w:t>焊接、喷涂</w:t>
                  </w:r>
                </w:p>
              </w:tc>
              <w:tc>
                <w:tcPr>
                  <w:tcW w:w="2788" w:type="dxa"/>
                </w:tcPr>
                <w:p>
                  <w:pPr>
                    <w:shd w:val="clear" w:color="auto" w:fill="C7DAF1" w:themeFill="text2" w:themeFillTint="32"/>
                    <w:jc w:val="left"/>
                    <w:rPr>
                      <w:rFonts w:hint="eastAsia" w:eastAsia="宋体"/>
                      <w:lang w:eastAsia="zh-CN"/>
                    </w:rPr>
                  </w:pPr>
                  <w:r>
                    <w:rPr>
                      <w:rFonts w:hint="eastAsia"/>
                      <w:lang w:eastAsia="zh-CN"/>
                    </w:rPr>
                    <w:t>电流、电压、温度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pPr>
                    <w:shd w:val="clear" w:color="auto" w:fill="C7DAF1" w:themeFill="text2" w:themeFillTint="32"/>
                    <w:jc w:val="left"/>
                  </w:pPr>
                </w:p>
              </w:tc>
              <w:tc>
                <w:tcPr>
                  <w:tcW w:w="2114" w:type="dxa"/>
                </w:tcPr>
                <w:p>
                  <w:pPr>
                    <w:shd w:val="clear" w:color="auto" w:fill="C7DAF1" w:themeFill="text2" w:themeFillTint="32"/>
                    <w:jc w:val="left"/>
                  </w:pPr>
                </w:p>
              </w:tc>
              <w:tc>
                <w:tcPr>
                  <w:tcW w:w="2788"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pPr>
                    <w:shd w:val="clear" w:color="auto" w:fill="C7DAF1" w:themeFill="text2" w:themeFillTint="32"/>
                    <w:jc w:val="left"/>
                  </w:pPr>
                </w:p>
              </w:tc>
              <w:tc>
                <w:tcPr>
                  <w:tcW w:w="2114" w:type="dxa"/>
                </w:tcPr>
                <w:p>
                  <w:pPr>
                    <w:shd w:val="clear" w:color="auto" w:fill="C7DAF1" w:themeFill="text2" w:themeFillTint="32"/>
                    <w:jc w:val="left"/>
                  </w:pPr>
                </w:p>
              </w:tc>
              <w:tc>
                <w:tcPr>
                  <w:tcW w:w="2788"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焊接、喷涂</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通过年度策划于2022年4月6-7日实施了质量管理体系内部审核，对质量管理体系的符合性和有效性进行了审核。内审发现的项不符合在本次审核前已完成整改。在公司内完成的这些审核是可信的。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最高管理者已按策划的时间间隔，在2022年4月15日对组织的质量管理体系进行了评审，以确保其持续的适宜性、充分性和有效性；管理评审输入、输出均按要求提供。并对提出的改进措施进行了落实。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质量至上、持续创新、诚实守信、顾客至上</w:t>
            </w:r>
          </w:p>
          <w:p>
            <w:pPr>
              <w:rPr>
                <w:u w:val="single"/>
              </w:rPr>
            </w:pPr>
            <w:r>
              <w:rPr>
                <w:rFonts w:hint="eastAsia"/>
                <w:u w:val="single"/>
              </w:rPr>
              <w:t>预防为主，降低风险；遵章守法，创造和谐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伍珠如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8"/>
              <w:gridCol w:w="236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8" w:type="dxa"/>
                </w:tcPr>
                <w:p>
                  <w:r>
                    <w:rPr>
                      <w:rFonts w:hint="eastAsia"/>
                    </w:rPr>
                    <w:t>主要的风险或机遇描述</w:t>
                  </w:r>
                </w:p>
              </w:tc>
              <w:tc>
                <w:tcPr>
                  <w:tcW w:w="2367"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8" w:type="dxa"/>
                </w:tcPr>
                <w:p>
                  <w:r>
                    <w:rPr>
                      <w:rFonts w:hint="eastAsia"/>
                    </w:rPr>
                    <w:t>机械伤害、</w:t>
                  </w:r>
                </w:p>
              </w:tc>
              <w:tc>
                <w:tcPr>
                  <w:tcW w:w="2367" w:type="dxa"/>
                </w:tcPr>
                <w:p>
                  <w:pPr>
                    <w:rPr>
                      <w:rFonts w:hint="eastAsia" w:eastAsia="宋体"/>
                      <w:lang w:eastAsia="zh-CN"/>
                    </w:rPr>
                  </w:pPr>
                  <w:r>
                    <w:rPr>
                      <w:rFonts w:hint="eastAsia"/>
                      <w:lang w:eastAsia="zh-CN"/>
                    </w:rPr>
                    <w:t>运行控制</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8" w:type="dxa"/>
                </w:tcPr>
                <w:p>
                  <w:r>
                    <w:rPr>
                      <w:rFonts w:hint="eastAsia"/>
                    </w:rPr>
                    <w:t>触电伤害</w:t>
                  </w:r>
                </w:p>
              </w:tc>
              <w:tc>
                <w:tcPr>
                  <w:tcW w:w="2367" w:type="dxa"/>
                  <w:vAlign w:val="top"/>
                </w:tcPr>
                <w:p>
                  <w:r>
                    <w:rPr>
                      <w:rFonts w:hint="eastAsia"/>
                      <w:lang w:eastAsia="zh-CN"/>
                    </w:rPr>
                    <w:t>运行控制</w:t>
                  </w:r>
                </w:p>
              </w:tc>
              <w:tc>
                <w:tcPr>
                  <w:tcW w:w="1717" w:type="dxa"/>
                  <w:vAlign w:val="top"/>
                </w:tcPr>
                <w:p>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8" w:type="dxa"/>
                </w:tcPr>
                <w:p>
                  <w:r>
                    <w:rPr>
                      <w:rFonts w:hint="eastAsia"/>
                    </w:rPr>
                    <w:t>火灾伤害</w:t>
                  </w:r>
                </w:p>
              </w:tc>
              <w:tc>
                <w:tcPr>
                  <w:tcW w:w="2367" w:type="dxa"/>
                  <w:vAlign w:val="top"/>
                </w:tcPr>
                <w:p>
                  <w:r>
                    <w:rPr>
                      <w:rFonts w:hint="eastAsia"/>
                      <w:lang w:eastAsia="zh-CN"/>
                    </w:rPr>
                    <w:t>运行控制、应急管理</w:t>
                  </w:r>
                </w:p>
              </w:tc>
              <w:tc>
                <w:tcPr>
                  <w:tcW w:w="1717" w:type="dxa"/>
                  <w:vAlign w:val="top"/>
                </w:tcPr>
                <w:p>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8" w:type="dxa"/>
                </w:tcPr>
                <w:p>
                  <w:r>
                    <w:rPr>
                      <w:rFonts w:hint="eastAsia"/>
                    </w:rPr>
                    <w:t>吸入性伤害</w:t>
                  </w:r>
                </w:p>
              </w:tc>
              <w:tc>
                <w:tcPr>
                  <w:tcW w:w="2367" w:type="dxa"/>
                  <w:vAlign w:val="top"/>
                </w:tcPr>
                <w:p>
                  <w:r>
                    <w:rPr>
                      <w:rFonts w:hint="eastAsia"/>
                      <w:lang w:eastAsia="zh-CN"/>
                    </w:rPr>
                    <w:t>运行控制</w:t>
                  </w:r>
                </w:p>
              </w:tc>
              <w:tc>
                <w:tcPr>
                  <w:tcW w:w="1717" w:type="dxa"/>
                  <w:vAlign w:val="top"/>
                </w:tcPr>
                <w:p>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8" w:type="dxa"/>
                </w:tcPr>
                <w:p>
                  <w:pPr>
                    <w:rPr>
                      <w:rFonts w:hint="eastAsia"/>
                    </w:rPr>
                  </w:pPr>
                  <w:r>
                    <w:rPr>
                      <w:rFonts w:hint="eastAsia"/>
                    </w:rPr>
                    <w:t>人身伤害</w:t>
                  </w:r>
                </w:p>
              </w:tc>
              <w:tc>
                <w:tcPr>
                  <w:tcW w:w="2367" w:type="dxa"/>
                  <w:vAlign w:val="top"/>
                </w:tcPr>
                <w:p>
                  <w:r>
                    <w:rPr>
                      <w:rFonts w:hint="eastAsia"/>
                      <w:lang w:eastAsia="zh-CN"/>
                    </w:rPr>
                    <w:t>运行控制</w:t>
                  </w:r>
                </w:p>
              </w:tc>
              <w:tc>
                <w:tcPr>
                  <w:tcW w:w="1717" w:type="dxa"/>
                  <w:vAlign w:val="top"/>
                </w:tcPr>
                <w:p>
                  <w:r>
                    <w:rPr>
                      <w:rFonts w:hint="eastAsia"/>
                      <w:lang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sym w:font="Wingdings 2" w:char="0052"/>
            </w:r>
            <w:r>
              <w:rPr>
                <w:rFonts w:hint="eastAsia"/>
              </w:rPr>
              <w:t>职业病体检报告书日期：</w:t>
            </w:r>
            <w:r>
              <w:rPr>
                <w:rFonts w:hint="eastAsia" w:ascii="宋体" w:hAnsi="宋体" w:eastAsia="宋体" w:cs="Arial"/>
                <w:spacing w:val="-6"/>
                <w:kern w:val="2"/>
                <w:sz w:val="21"/>
                <w:szCs w:val="21"/>
                <w:highlight w:val="none"/>
                <w:lang w:val="en-US" w:eastAsia="zh-CN" w:bidi="ar-SA"/>
              </w:rPr>
              <w:t>202</w:t>
            </w:r>
            <w:r>
              <w:rPr>
                <w:rFonts w:hint="eastAsia" w:ascii="宋体" w:hAnsi="宋体" w:cs="Arial"/>
                <w:spacing w:val="-6"/>
                <w:kern w:val="2"/>
                <w:sz w:val="21"/>
                <w:szCs w:val="21"/>
                <w:highlight w:val="none"/>
                <w:lang w:val="en-US" w:eastAsia="zh-CN" w:bidi="ar-SA"/>
              </w:rPr>
              <w:t>1.7.22</w:t>
            </w:r>
          </w:p>
          <w:p>
            <w:pPr>
              <w:rPr>
                <w:rFonts w:hint="eastAsia" w:ascii="Times New Roman" w:hAnsi="Times New Roman" w:eastAsia="宋体" w:cs="Times New Roman"/>
              </w:rPr>
            </w:pPr>
            <w:r>
              <w:rPr>
                <w:rFonts w:hint="eastAsia"/>
              </w:rPr>
              <w:sym w:font="Wingdings 2" w:char="0052"/>
            </w:r>
            <w:r>
              <w:rPr>
                <w:rFonts w:hint="eastAsia"/>
              </w:rPr>
              <w:t>消防验收/备案证明</w:t>
            </w:r>
            <w:r>
              <w:rPr>
                <w:rFonts w:hint="eastAsia" w:ascii="Times New Roman" w:hAnsi="Times New Roman" w:eastAsia="宋体" w:cs="Times New Roman"/>
              </w:rPr>
              <w:t>日期：</w:t>
            </w:r>
            <w:r>
              <w:rPr>
                <w:rFonts w:hint="eastAsia" w:ascii="宋体" w:hAnsi="宋体" w:eastAsia="宋体" w:cs="Arial"/>
                <w:spacing w:val="-6"/>
                <w:kern w:val="2"/>
                <w:sz w:val="21"/>
                <w:szCs w:val="21"/>
                <w:highlight w:val="none"/>
                <w:lang w:val="en-US" w:eastAsia="zh-CN" w:bidi="ar-SA"/>
              </w:rPr>
              <w:t>2021.7.8</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Arial"/>
                      <w:spacing w:val="-6"/>
                      <w:kern w:val="2"/>
                      <w:sz w:val="21"/>
                      <w:szCs w:val="21"/>
                      <w:highlight w:val="none"/>
                      <w:lang w:val="en-US" w:eastAsia="zh-CN" w:bidi="ar-SA"/>
                    </w:rPr>
                    <w:t>火灾事故发生率为0；</w:t>
                  </w:r>
                </w:p>
              </w:tc>
              <w:tc>
                <w:tcPr>
                  <w:tcW w:w="3136" w:type="dxa"/>
                  <w:shd w:val="clear" w:color="auto" w:fill="auto"/>
                  <w:vAlign w:val="center"/>
                </w:tcPr>
                <w:p>
                  <w:pPr>
                    <w:rPr>
                      <w:rFonts w:hint="eastAsia" w:eastAsia="宋体"/>
                      <w:lang w:val="en-GB" w:eastAsia="zh-CN"/>
                    </w:rPr>
                  </w:pPr>
                  <w:r>
                    <w:rPr>
                      <w:rFonts w:hint="eastAsia"/>
                      <w:lang w:val="en-GB" w:eastAsia="zh-CN"/>
                    </w:rPr>
                    <w:t>运行控制、应急管理</w:t>
                  </w:r>
                </w:p>
              </w:tc>
              <w:tc>
                <w:tcPr>
                  <w:tcW w:w="1350" w:type="dxa"/>
                  <w:shd w:val="clear" w:color="auto" w:fill="auto"/>
                  <w:vAlign w:val="center"/>
                </w:tcPr>
                <w:p>
                  <w:pPr>
                    <w:rPr>
                      <w:rFonts w:hint="eastAsia" w:eastAsia="宋体"/>
                      <w:lang w:val="en-GB" w:eastAsia="zh-CN"/>
                    </w:rPr>
                  </w:pPr>
                  <w:r>
                    <w:rPr>
                      <w:rFonts w:hint="eastAsia"/>
                      <w:lang w:val="en-GB" w:eastAsia="zh-CN"/>
                    </w:rPr>
                    <w:t>生产部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Arial"/>
                      <w:spacing w:val="-6"/>
                      <w:kern w:val="2"/>
                      <w:sz w:val="21"/>
                      <w:szCs w:val="21"/>
                      <w:highlight w:val="none"/>
                      <w:lang w:val="en-US" w:eastAsia="zh-CN" w:bidi="ar-SA"/>
                    </w:rPr>
                    <w:t>职业病发生率为0；</w:t>
                  </w:r>
                </w:p>
              </w:tc>
              <w:tc>
                <w:tcPr>
                  <w:tcW w:w="3136" w:type="dxa"/>
                  <w:shd w:val="clear" w:color="auto" w:fill="auto"/>
                  <w:vAlign w:val="center"/>
                </w:tcPr>
                <w:p>
                  <w:pPr>
                    <w:rPr>
                      <w:rFonts w:hint="eastAsia" w:ascii="宋体" w:hAnsi="宋体" w:eastAsia="宋体"/>
                      <w:lang w:eastAsia="zh-CN"/>
                    </w:rPr>
                  </w:pPr>
                  <w:r>
                    <w:rPr>
                      <w:rFonts w:hint="eastAsia" w:ascii="宋体" w:hAnsi="宋体"/>
                      <w:lang w:eastAsia="zh-CN"/>
                    </w:rPr>
                    <w:t>运行控制</w:t>
                  </w:r>
                </w:p>
              </w:tc>
              <w:tc>
                <w:tcPr>
                  <w:tcW w:w="1350" w:type="dxa"/>
                  <w:shd w:val="clear" w:color="auto" w:fill="auto"/>
                  <w:vAlign w:val="center"/>
                </w:tcPr>
                <w:p>
                  <w:pPr>
                    <w:rPr>
                      <w:rFonts w:hint="eastAsia" w:ascii="宋体" w:hAnsi="宋体" w:eastAsia="宋体"/>
                      <w:lang w:eastAsia="zh-CN"/>
                    </w:rPr>
                  </w:pPr>
                  <w:r>
                    <w:rPr>
                      <w:rFonts w:hint="eastAsia" w:ascii="宋体" w:hAnsi="宋体"/>
                      <w:lang w:eastAsia="zh-CN"/>
                    </w:rPr>
                    <w:t>生产部</w:t>
                  </w:r>
                </w:p>
              </w:tc>
              <w:tc>
                <w:tcPr>
                  <w:tcW w:w="1774" w:type="dxa"/>
                  <w:shd w:val="clear" w:color="auto" w:fill="auto"/>
                  <w:vAlign w:val="center"/>
                </w:tcPr>
                <w:p>
                  <w:pPr>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Arial"/>
                      <w:spacing w:val="-6"/>
                      <w:kern w:val="2"/>
                      <w:sz w:val="21"/>
                      <w:szCs w:val="21"/>
                      <w:highlight w:val="none"/>
                      <w:lang w:val="en-US" w:eastAsia="zh-CN" w:bidi="ar-SA"/>
                    </w:rPr>
                    <w:t>员工重大伤亡率为0；</w:t>
                  </w:r>
                </w:p>
              </w:tc>
              <w:tc>
                <w:tcPr>
                  <w:tcW w:w="3136" w:type="dxa"/>
                  <w:shd w:val="clear" w:color="auto" w:fill="auto"/>
                  <w:vAlign w:val="center"/>
                </w:tcPr>
                <w:p>
                  <w:pPr>
                    <w:rPr>
                      <w:rFonts w:hint="eastAsia" w:ascii="宋体" w:hAnsi="宋体" w:eastAsia="宋体"/>
                      <w:lang w:eastAsia="zh-CN"/>
                    </w:rPr>
                  </w:pPr>
                  <w:r>
                    <w:rPr>
                      <w:rFonts w:hint="eastAsia" w:ascii="宋体" w:hAnsi="宋体"/>
                      <w:lang w:eastAsia="zh-CN"/>
                    </w:rPr>
                    <w:t>运行控制</w:t>
                  </w:r>
                </w:p>
              </w:tc>
              <w:tc>
                <w:tcPr>
                  <w:tcW w:w="1350" w:type="dxa"/>
                  <w:shd w:val="clear" w:color="auto" w:fill="auto"/>
                  <w:vAlign w:val="center"/>
                </w:tcPr>
                <w:p>
                  <w:pPr>
                    <w:rPr>
                      <w:rFonts w:hint="eastAsia" w:ascii="宋体" w:hAnsi="宋体" w:eastAsia="宋体"/>
                      <w:lang w:eastAsia="zh-CN"/>
                    </w:rPr>
                  </w:pPr>
                  <w:r>
                    <w:rPr>
                      <w:rFonts w:hint="eastAsia" w:ascii="宋体" w:hAnsi="宋体"/>
                      <w:lang w:eastAsia="zh-CN"/>
                    </w:rPr>
                    <w:t>生产部</w:t>
                  </w:r>
                </w:p>
              </w:tc>
              <w:tc>
                <w:tcPr>
                  <w:tcW w:w="1774" w:type="dxa"/>
                  <w:shd w:val="clear" w:color="auto" w:fill="auto"/>
                  <w:vAlign w:val="center"/>
                </w:tcPr>
                <w:p>
                  <w:pPr>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建筑面积35000平方米；生产车间2个；库房2个；实验室0个；</w:t>
            </w:r>
          </w:p>
          <w:p>
            <w:pPr>
              <w:rPr>
                <w:u w:val="single"/>
              </w:rPr>
            </w:pPr>
            <w:r>
              <w:rPr>
                <w:rFonts w:hint="eastAsia"/>
              </w:rPr>
              <w:t>主要生产设备有：</w:t>
            </w:r>
            <w:r>
              <w:rPr>
                <w:rFonts w:hint="eastAsia"/>
                <w:u w:val="single"/>
              </w:rPr>
              <w:t>断料机、排冲、冲床、焊机、整型机、喷粉机</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sym w:font="Wingdings 2" w:char="0052"/>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r>
              <w:rPr>
                <w:rFonts w:hint="eastAsia"/>
              </w:rPr>
              <w:t>职业健康安全监测的计量器具有：</w:t>
            </w:r>
          </w:p>
          <w:p>
            <w:r>
              <w:rPr>
                <w:rFonts w:hint="eastAsia" w:ascii="Wingdings" w:hAnsi="Wingdings"/>
                <w:lang w:eastAsia="zh-CN"/>
              </w:rPr>
              <w:sym w:font="Wingdings 2" w:char="00A3"/>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运行控制、应急管理</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eastAsia="zh-CN"/>
              </w:rPr>
              <w:t>叉车</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于2022年3月21日进行了的演练；并总结了预案的可行性和有效性。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定期（每年）：2022年3月25日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《作业场所有害物质监测报告》编号：JXLX2021-0203。</w:t>
            </w:r>
          </w:p>
          <w:p>
            <w:r>
              <w:rPr>
                <w:rFonts w:hint="eastAsia"/>
              </w:rPr>
              <w:t>职业病体检：</w:t>
            </w:r>
            <w:r>
              <w:rPr>
                <w:rFonts w:hint="eastAsia" w:ascii="Wingdings" w:hAnsi="Wingdings"/>
                <w:lang w:eastAsia="zh-CN"/>
              </w:rPr>
              <w:sym w:font="Wingdings 2" w:char="00A3"/>
            </w:r>
            <w:r>
              <w:rPr>
                <w:rFonts w:hint="eastAsia"/>
              </w:rPr>
              <w:t>入职</w:t>
            </w:r>
            <w:r>
              <w:rPr>
                <w:rFonts w:hint="eastAsia" w:ascii="Wingdings" w:hAnsi="Wingdings"/>
                <w:lang w:eastAsia="zh-CN"/>
              </w:rPr>
              <w:sym w:font="Wingdings 2" w:char="0052"/>
            </w:r>
            <w:r>
              <w:rPr>
                <w:rFonts w:hint="eastAsia"/>
              </w:rPr>
              <w:t>离职</w:t>
            </w:r>
            <w:r>
              <w:rPr>
                <w:rFonts w:hint="eastAsia" w:ascii="Wingdings" w:hAnsi="Wingdings"/>
                <w:lang w:eastAsia="zh-CN"/>
              </w:rPr>
              <w:t>□</w:t>
            </w:r>
            <w:r>
              <w:rPr>
                <w:rFonts w:hint="eastAsia"/>
              </w:rPr>
              <w:t>在职（定期）</w:t>
            </w:r>
          </w:p>
          <w:p>
            <w:r>
              <w:rPr>
                <w:rFonts w:hint="eastAsia"/>
              </w:rPr>
              <w:t>《职业病体检》编号：</w:t>
            </w:r>
            <w:r>
              <w:rPr>
                <w:rFonts w:hint="eastAsia"/>
                <w:lang w:val="en-US" w:eastAsia="zh-CN"/>
              </w:rPr>
              <w:t>20210722</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通过年度策划于2022年4月6-7日实施了职业健康安全管理体系内部审核，对职业健康安全管理体系的符合性和有效性进行了审核。内审发现的项不符合在本次审核前已完成整改。在公司内完成的这些审核是可信的。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最高管理者已按策划的时间间隔，在2022年4月15日对组织的职业健康安全管理体系进行了评审，以确保其持续的适宜性、充分性和有效性；管理评审输入、输出均按要求提供。并对提出的改进措施进行了落实。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282"/>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7D905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99"/>
    <w:pPr>
      <w:spacing w:after="120"/>
      <w:ind w:firstLine="7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18622</Words>
  <Characters>19326</Characters>
  <Lines>150</Lines>
  <Paragraphs>42</Paragraphs>
  <TotalTime>5</TotalTime>
  <ScaleCrop>false</ScaleCrop>
  <LinksUpToDate>false</LinksUpToDate>
  <CharactersWithSpaces>19447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2022-07-15T03:47:28Z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