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怡达快速电梯有限公司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应红艳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1" w:name="_GoBack"/>
            <w:bookmarkEnd w:id="1"/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92710</wp:posOffset>
                  </wp:positionV>
                  <wp:extent cx="4925060" cy="882015"/>
                  <wp:effectExtent l="0" t="0" r="2540" b="6985"/>
                  <wp:wrapSquare wrapText="bothSides"/>
                  <wp:docPr id="5" name="图片 5" descr="162934056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29340567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506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主要能源使用：电力、柴油；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主要耗能设备：切割机、电焊机、冲压机、空压机；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主要能源参数：综合能耗、单位产品能耗（kgce/t）；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）《固定资产投资项目节能审查办法》（国家发展和改革委员会令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2016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年第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44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号）；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val="en-US" w:eastAsia="zh-CN"/>
              </w:rPr>
              <w:t>）《</w:t>
            </w:r>
            <w:r>
              <w:rPr>
                <w:rFonts w:hint="default"/>
                <w:b/>
                <w:sz w:val="20"/>
                <w:lang w:val="en-US" w:eastAsia="zh-CN"/>
              </w:rPr>
              <w:t>“</w:t>
            </w:r>
            <w:r>
              <w:rPr>
                <w:rFonts w:hint="eastAsia"/>
                <w:b/>
                <w:sz w:val="20"/>
                <w:lang w:val="en-US" w:eastAsia="zh-CN"/>
              </w:rPr>
              <w:t>十三五</w:t>
            </w:r>
            <w:r>
              <w:rPr>
                <w:rFonts w:hint="default"/>
                <w:b/>
                <w:sz w:val="20"/>
                <w:lang w:val="en-US" w:eastAsia="zh-CN"/>
              </w:rPr>
              <w:t>”</w:t>
            </w:r>
            <w:r>
              <w:rPr>
                <w:rFonts w:hint="eastAsia"/>
                <w:b/>
                <w:sz w:val="20"/>
                <w:lang w:val="en-US" w:eastAsia="zh-CN"/>
              </w:rPr>
              <w:t>节能减排综合工作方案的通知》（国发〔</w:t>
            </w:r>
            <w:r>
              <w:rPr>
                <w:rFonts w:hint="default"/>
                <w:b/>
                <w:sz w:val="20"/>
                <w:lang w:val="en-US" w:eastAsia="zh-CN"/>
              </w:rPr>
              <w:t>2016</w:t>
            </w:r>
            <w:r>
              <w:rPr>
                <w:rFonts w:hint="eastAsia"/>
                <w:b/>
                <w:sz w:val="20"/>
                <w:lang w:val="en-US" w:eastAsia="zh-CN"/>
              </w:rPr>
              <w:t>〕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74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号）；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lang w:val="en-US" w:eastAsia="zh-CN"/>
              </w:rPr>
              <w:t>）《中华人民共和国节约能源法》（国家主席令〔</w:t>
            </w:r>
            <w:r>
              <w:rPr>
                <w:rFonts w:hint="default"/>
                <w:b/>
                <w:sz w:val="20"/>
                <w:lang w:val="en-US" w:eastAsia="zh-CN"/>
              </w:rPr>
              <w:t>2007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〕第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77 </w:t>
            </w:r>
            <w:r>
              <w:rPr>
                <w:rFonts w:hint="eastAsia"/>
                <w:b/>
                <w:sz w:val="20"/>
                <w:lang w:val="en-US" w:eastAsia="zh-CN"/>
              </w:rPr>
              <w:t>号，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2018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年修正）；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  <w:lang w:val="en-US" w:eastAsia="zh-CN"/>
              </w:rPr>
              <w:t>）《高耗能落后机电设备（产品）淘汰目录》（第一～第四 批）；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  <w:lang w:val="en-US" w:eastAsia="zh-CN"/>
              </w:rPr>
              <w:t>）《产业结构调整指导目录（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2019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年本）》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）《节能机电产品（设备）推荐目录》（第一批～第四批） （工信部）；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（7）《用能单位能源计量器具配备和管理通则》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 17167-2006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  <w:lang w:val="en-US" w:eastAsia="zh-CN"/>
              </w:rPr>
              <w:t>）《电力变压器能效限定值及能效等级》</w:t>
            </w:r>
            <w:r>
              <w:rPr>
                <w:rFonts w:hint="default"/>
                <w:b/>
                <w:sz w:val="20"/>
                <w:lang w:val="en-US" w:eastAsia="zh-CN"/>
              </w:rPr>
              <w:t>GB 20052-2020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  <w:lang w:val="en-US" w:eastAsia="zh-CN"/>
              </w:rPr>
              <w:t>）《综合能耗计算通则》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2589-2020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  <w:lang w:val="en-US" w:eastAsia="zh-CN"/>
              </w:rPr>
              <w:t>）《企业能量平衡通则》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3484-2009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  <w:lang w:val="en-US" w:eastAsia="zh-CN"/>
              </w:rPr>
              <w:t>）《用能设备能量测试导则》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6422-2009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  <w:lang w:val="en-US" w:eastAsia="zh-CN"/>
              </w:rPr>
              <w:t>）《节水型企业评价导则》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GB/T 7119-2018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17</w:t>
            </w:r>
            <w:r>
              <w:rPr>
                <w:rFonts w:hint="eastAsia"/>
                <w:b/>
                <w:sz w:val="20"/>
                <w:lang w:val="en-US" w:eastAsia="zh-CN"/>
              </w:rPr>
              <w:t>）《用电设备电能平衡通则》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8222-2008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  <w:lang w:val="en-US" w:eastAsia="zh-CN"/>
              </w:rPr>
              <w:t>）《单位产品能源消耗限额编制通则》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12723-2013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）《电力变压器经济运行》</w:t>
            </w:r>
            <w:r>
              <w:rPr>
                <w:rFonts w:hint="default"/>
                <w:b/>
                <w:sz w:val="20"/>
                <w:lang w:val="en-US" w:eastAsia="zh-CN"/>
              </w:rPr>
              <w:t>GB/T 13462-2008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  <w:lang w:val="en-US" w:eastAsia="zh-CN"/>
              </w:rPr>
              <w:t>）《节电技术经济效益计算与评价方法》</w:t>
            </w:r>
            <w:r>
              <w:rPr>
                <w:rFonts w:hint="default"/>
                <w:b/>
                <w:sz w:val="20"/>
                <w:lang w:val="en-US" w:eastAsia="zh-CN"/>
              </w:rPr>
              <w:t>GB/T 13471-2008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22</w:t>
            </w:r>
            <w:r>
              <w:rPr>
                <w:rFonts w:hint="eastAsia"/>
                <w:b/>
                <w:sz w:val="20"/>
                <w:lang w:val="en-US" w:eastAsia="zh-CN"/>
              </w:rPr>
              <w:t>）《节能监测技术通则》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15316-2009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23</w:t>
            </w:r>
            <w:r>
              <w:rPr>
                <w:rFonts w:hint="eastAsia"/>
                <w:b/>
                <w:sz w:val="20"/>
                <w:lang w:val="en-US" w:eastAsia="zh-CN"/>
              </w:rPr>
              <w:t>）《工业企业能源管理导则》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15587-2008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24</w:t>
            </w:r>
            <w:r>
              <w:rPr>
                <w:rFonts w:hint="eastAsia"/>
                <w:b/>
                <w:sz w:val="20"/>
                <w:lang w:val="en-US" w:eastAsia="zh-CN"/>
              </w:rPr>
              <w:t>）《企业供配电系统节能监测方法》</w:t>
            </w:r>
            <w:r>
              <w:rPr>
                <w:rFonts w:hint="default"/>
                <w:b/>
                <w:sz w:val="20"/>
                <w:lang w:val="en-US" w:eastAsia="zh-CN"/>
              </w:rPr>
              <w:t>GB/T 16664-1996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27</w:t>
            </w:r>
            <w:r>
              <w:rPr>
                <w:rFonts w:hint="eastAsia"/>
                <w:b/>
                <w:sz w:val="20"/>
                <w:lang w:val="en-US" w:eastAsia="zh-CN"/>
              </w:rPr>
              <w:t>）《机械行业节能设计规范》</w:t>
            </w:r>
            <w:r>
              <w:rPr>
                <w:rFonts w:hint="default"/>
                <w:b/>
                <w:sz w:val="20"/>
                <w:lang w:val="en-US" w:eastAsia="zh-CN"/>
              </w:rPr>
              <w:t>JBJ14-2004</w:t>
            </w:r>
            <w:r>
              <w:rPr>
                <w:rFonts w:hint="eastAsia"/>
                <w:b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电梯生产中能耗的知识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应红艳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101600</wp:posOffset>
                  </wp:positionV>
                  <wp:extent cx="647700" cy="304800"/>
                  <wp:effectExtent l="0" t="0" r="0" b="0"/>
                  <wp:wrapSquare wrapText="bothSides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2022.7.10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47D7136A"/>
    <w:rsid w:val="4F320254"/>
    <w:rsid w:val="773116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2022-07-14T12:46:28Z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2052-11.1.0.11435</vt:lpwstr>
  </property>
</Properties>
</file>