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6日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E494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7-06T02:0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