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94"/>
        <w:gridCol w:w="286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成都宇翔科技有限公司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成都市双流西南航空港经济开发区工业集中区(西航港科技企业孵化园)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成都高新区天府软件园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B</w:t>
            </w:r>
            <w:r>
              <w:rPr>
                <w:rFonts w:asciiTheme="minorEastAsia" w:hAnsiTheme="minorEastAsia" w:eastAsiaTheme="minorEastAsia"/>
                <w:sz w:val="20"/>
              </w:rPr>
              <w:t>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7栋301</w:t>
            </w:r>
            <w:r>
              <w:rPr>
                <w:rFonts w:asciiTheme="minorEastAsia" w:hAnsiTheme="minorEastAsia" w:eastAsiaTheme="minorEastAsia"/>
                <w:sz w:val="20"/>
              </w:rPr>
              <w:t>办公室</w:t>
            </w:r>
            <w:bookmarkStart w:id="35" w:name="_GoBack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万亮骑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13518496373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李林栖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0436-2020-QEO-2022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Q：无人机研发、销售及技术服务。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E：无人机研发、销售及技术服务所涉及的相关环境管理活动。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O：无人机研发、销售及技术服务所涉及的相关职业健康安全管理活动。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Q：19.05.01;29.10.07;34.06.00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E：19.05.01;29.10.07;34.06.00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O：19.05.01;29.10.07;34.06.00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2022年07月06日 上午至2022年07月06日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Q:19.05.01,29.10.07,34.06.00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E:19.05.01,29.10.07,34.06.00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O:19.05.01,29.10.07,34.06.00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4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vAlign w:val="center"/>
          </w:tcPr>
          <w:p/>
        </w:tc>
        <w:tc>
          <w:tcPr>
            <w:tcW w:w="17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944" w:type="dxa"/>
            <w:gridSpan w:val="3"/>
            <w:vAlign w:val="center"/>
          </w:tcPr>
          <w:p/>
        </w:tc>
        <w:tc>
          <w:tcPr>
            <w:tcW w:w="17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183515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70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2022年7月1日</w:t>
            </w:r>
          </w:p>
        </w:tc>
        <w:tc>
          <w:tcPr>
            <w:tcW w:w="170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65"/>
        <w:gridCol w:w="1036"/>
        <w:gridCol w:w="6237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727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23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总则；7.1.2人员；7.1.6组织知识；7.4沟通；9.1.1监测、分析和评价总则；9.1.3分析与评价；9.2内部审核；9.3管理评审；10.1改进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陈伟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</w:t>
            </w:r>
            <w:r>
              <w:rPr>
                <w:rFonts w:hint="eastAsia" w:ascii="宋体" w:hAnsi="宋体" w:cs="新宋体"/>
                <w:sz w:val="18"/>
                <w:szCs w:val="18"/>
              </w:rPr>
              <w:t>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36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23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4.1组织及其环境;4. 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与评估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上次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不符合问题验证。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11：00-14：00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（午餐12：00-1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0）</w:t>
            </w:r>
          </w:p>
        </w:tc>
        <w:tc>
          <w:tcPr>
            <w:tcW w:w="1036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行政部（含财务）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237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6.2质量目标及其实现的策划；10.2不符合和纠正措施；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10：00-11：00</w:t>
            </w:r>
          </w:p>
        </w:tc>
        <w:tc>
          <w:tcPr>
            <w:tcW w:w="1036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行政部（含财务）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237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6.1.2环境因素；6.1.3合规义务；8.1运行策划和控制；8.2应急准备和响应；9.1监视、测量、分析与评估；9.1.2符合性评估；10.2不符合和纠正措施/EMS运行控制相关财务支出证据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8.1运行策划和控制；8.2应急准备和响应；9.1监视、测量、分析和评价；9.1.2法律法规要求和其他要求的合规性评价；10.1事件、不符合和纠正措施/OHSMS运行控制财务支出证据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1036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623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5.3组织的角色、职责和权限、6.2目标及其达成的策划；6.1.2环境因素；7.4沟通；8.1运行策划和控制；8.2应急准备和响应；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11：00-12：00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（午餐12：00-1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0）</w:t>
            </w:r>
          </w:p>
        </w:tc>
        <w:tc>
          <w:tcPr>
            <w:tcW w:w="1036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623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8.5.1产品生产和服务提供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2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13：30-17：30（12：30-12:40去临时场所，12：40-13：20查看临时场所，13：20-13：30回办公室）</w:t>
            </w:r>
          </w:p>
        </w:tc>
        <w:tc>
          <w:tcPr>
            <w:tcW w:w="1036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623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/权限；6.2质量目标及其实现的策划；7.1.5监视和测量设备；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8.1运行的策划和控制；8.3产品和服务的设计和开发；8.5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</w:rPr>
              <w:t>产品生产和服务提供；8.6产品和服务放行；8.7不合格输出控制；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5.3组织的角色、职责和权限、6.2目标及其达成的策划；6.1.2环境因素；7.4沟通；8.1运行策划和控制；8.2应急准备和响应；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17:30-18:00</w:t>
            </w:r>
          </w:p>
        </w:tc>
        <w:tc>
          <w:tcPr>
            <w:tcW w:w="7273" w:type="dxa"/>
            <w:gridSpan w:val="2"/>
            <w:vAlign w:val="center"/>
          </w:tcPr>
          <w:p>
            <w:pPr>
              <w:snapToGrid w:val="0"/>
              <w:spacing w:line="240" w:lineRule="exact"/>
              <w:ind w:firstLine="420" w:firstLineChars="200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审核组内部及与企业沟通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9940C87"/>
    <w:rsid w:val="39E26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2629</Words>
  <Characters>3849</Characters>
  <Lines>37</Lines>
  <Paragraphs>10</Paragraphs>
  <TotalTime>1</TotalTime>
  <ScaleCrop>false</ScaleCrop>
  <LinksUpToDate>false</LinksUpToDate>
  <CharactersWithSpaces>3925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2022-07-06T06:06:25Z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