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color w:val="auto"/>
                <w:sz w:val="24"/>
              </w:rPr>
            </w:pPr>
            <w:r>
              <w:rPr>
                <w:rFonts w:hint="eastAsia"/>
                <w:bCs/>
                <w:color w:val="auto"/>
                <w:sz w:val="24"/>
              </w:rPr>
              <w:t>组织名称</w:t>
            </w:r>
          </w:p>
        </w:tc>
        <w:tc>
          <w:tcPr>
            <w:tcW w:w="3812" w:type="dxa"/>
            <w:gridSpan w:val="5"/>
            <w:vAlign w:val="center"/>
          </w:tcPr>
          <w:p>
            <w:pPr>
              <w:rPr>
                <w:rFonts w:ascii="宋体" w:cs="宋体"/>
                <w:bCs/>
                <w:color w:val="auto"/>
                <w:sz w:val="24"/>
              </w:rPr>
            </w:pPr>
            <w:bookmarkStart w:id="0" w:name="组织名称"/>
            <w:r>
              <w:rPr>
                <w:rFonts w:ascii="宋体" w:cs="宋体"/>
                <w:bCs/>
                <w:color w:val="auto"/>
                <w:sz w:val="24"/>
              </w:rPr>
              <w:t>国中建设（重庆）有限公司</w:t>
            </w:r>
            <w:bookmarkEnd w:id="0"/>
          </w:p>
        </w:tc>
        <w:tc>
          <w:tcPr>
            <w:tcW w:w="1948" w:type="dxa"/>
            <w:gridSpan w:val="5"/>
            <w:vAlign w:val="center"/>
          </w:tcPr>
          <w:p>
            <w:pPr>
              <w:jc w:val="center"/>
              <w:rPr>
                <w:rFonts w:ascii="宋体"/>
                <w:bCs/>
                <w:color w:val="auto"/>
                <w:sz w:val="24"/>
              </w:rPr>
            </w:pPr>
            <w:r>
              <w:rPr>
                <w:rFonts w:hint="eastAsia" w:ascii="宋体" w:hAnsi="宋体"/>
                <w:bCs/>
                <w:color w:val="auto"/>
                <w:sz w:val="24"/>
              </w:rPr>
              <w:t>认证合同号</w:t>
            </w:r>
          </w:p>
        </w:tc>
        <w:tc>
          <w:tcPr>
            <w:tcW w:w="3181" w:type="dxa"/>
            <w:gridSpan w:val="4"/>
            <w:vAlign w:val="center"/>
          </w:tcPr>
          <w:p>
            <w:pPr>
              <w:rPr>
                <w:rFonts w:ascii="宋体"/>
                <w:bCs/>
                <w:color w:val="auto"/>
                <w:sz w:val="24"/>
              </w:rPr>
            </w:pPr>
            <w:bookmarkStart w:id="1" w:name="合同编号"/>
            <w:r>
              <w:rPr>
                <w:rFonts w:ascii="宋体"/>
                <w:bCs/>
                <w:color w:val="auto"/>
                <w:sz w:val="24"/>
              </w:rPr>
              <w:t>0867-2022-QJEO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color w:val="auto"/>
                <w:sz w:val="24"/>
              </w:rPr>
            </w:pPr>
            <w:r>
              <w:rPr>
                <w:rFonts w:hint="eastAsia"/>
                <w:bCs/>
                <w:color w:val="auto"/>
                <w:sz w:val="24"/>
              </w:rPr>
              <w:t>注册地址</w:t>
            </w:r>
          </w:p>
        </w:tc>
        <w:tc>
          <w:tcPr>
            <w:tcW w:w="3812" w:type="dxa"/>
            <w:gridSpan w:val="5"/>
            <w:vMerge w:val="restart"/>
            <w:vAlign w:val="center"/>
          </w:tcPr>
          <w:p>
            <w:pPr>
              <w:spacing w:line="240" w:lineRule="atLeast"/>
              <w:jc w:val="left"/>
              <w:rPr>
                <w:rFonts w:ascii="宋体"/>
                <w:bCs/>
                <w:color w:val="auto"/>
                <w:sz w:val="24"/>
              </w:rPr>
            </w:pPr>
            <w:bookmarkStart w:id="2" w:name="注册地址"/>
            <w:r>
              <w:rPr>
                <w:rFonts w:ascii="宋体"/>
                <w:bCs/>
                <w:color w:val="auto"/>
                <w:sz w:val="24"/>
              </w:rPr>
              <w:t>重庆市沙坪坝区杨梨路60号附2号2-2</w:t>
            </w:r>
            <w:bookmarkEnd w:id="2"/>
          </w:p>
        </w:tc>
        <w:tc>
          <w:tcPr>
            <w:tcW w:w="913" w:type="dxa"/>
            <w:gridSpan w:val="2"/>
            <w:vMerge w:val="restart"/>
            <w:vAlign w:val="center"/>
          </w:tcPr>
          <w:p>
            <w:pPr>
              <w:jc w:val="center"/>
              <w:rPr>
                <w:rFonts w:ascii="宋体"/>
                <w:bCs/>
                <w:color w:val="auto"/>
                <w:sz w:val="18"/>
                <w:szCs w:val="18"/>
              </w:rPr>
            </w:pPr>
            <w:r>
              <w:rPr>
                <w:rFonts w:hint="eastAsia" w:ascii="宋体" w:hAnsi="宋体"/>
                <w:bCs/>
                <w:color w:val="auto"/>
                <w:sz w:val="18"/>
                <w:szCs w:val="18"/>
              </w:rPr>
              <w:t>法人</w:t>
            </w:r>
          </w:p>
        </w:tc>
        <w:tc>
          <w:tcPr>
            <w:tcW w:w="1035" w:type="dxa"/>
            <w:gridSpan w:val="3"/>
            <w:vMerge w:val="restart"/>
            <w:vAlign w:val="center"/>
          </w:tcPr>
          <w:p>
            <w:pPr>
              <w:jc w:val="center"/>
              <w:rPr>
                <w:bCs/>
                <w:color w:val="auto"/>
                <w:sz w:val="18"/>
                <w:szCs w:val="18"/>
              </w:rPr>
            </w:pPr>
            <w:bookmarkStart w:id="3" w:name="法人"/>
            <w:r>
              <w:rPr>
                <w:bCs/>
                <w:color w:val="auto"/>
                <w:sz w:val="18"/>
                <w:szCs w:val="18"/>
              </w:rPr>
              <w:t>杨华强</w:t>
            </w:r>
            <w:bookmarkEnd w:id="3"/>
          </w:p>
        </w:tc>
        <w:tc>
          <w:tcPr>
            <w:tcW w:w="1169" w:type="dxa"/>
            <w:gridSpan w:val="2"/>
            <w:vAlign w:val="center"/>
          </w:tcPr>
          <w:p>
            <w:pPr>
              <w:jc w:val="center"/>
              <w:rPr>
                <w:rFonts w:ascii="宋体"/>
                <w:bCs/>
                <w:color w:val="auto"/>
                <w:sz w:val="18"/>
                <w:szCs w:val="18"/>
              </w:rPr>
            </w:pPr>
            <w:r>
              <w:rPr>
                <w:rFonts w:hint="eastAsia" w:ascii="宋体" w:hAnsi="宋体"/>
                <w:bCs/>
                <w:color w:val="auto"/>
                <w:sz w:val="18"/>
                <w:szCs w:val="18"/>
              </w:rPr>
              <w:t>固定电话</w:t>
            </w:r>
          </w:p>
        </w:tc>
        <w:tc>
          <w:tcPr>
            <w:tcW w:w="2012" w:type="dxa"/>
            <w:gridSpan w:val="2"/>
            <w:vAlign w:val="center"/>
          </w:tcPr>
          <w:p>
            <w:pPr>
              <w:jc w:val="cente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color w:val="auto"/>
                <w:sz w:val="24"/>
              </w:rPr>
            </w:pPr>
          </w:p>
        </w:tc>
        <w:tc>
          <w:tcPr>
            <w:tcW w:w="3812" w:type="dxa"/>
            <w:gridSpan w:val="5"/>
            <w:vMerge w:val="continue"/>
            <w:vAlign w:val="center"/>
          </w:tcPr>
          <w:p>
            <w:pPr>
              <w:jc w:val="center"/>
              <w:rPr>
                <w:rFonts w:ascii="宋体"/>
                <w:bCs/>
                <w:color w:val="auto"/>
                <w:sz w:val="24"/>
              </w:rPr>
            </w:pPr>
          </w:p>
        </w:tc>
        <w:tc>
          <w:tcPr>
            <w:tcW w:w="913" w:type="dxa"/>
            <w:gridSpan w:val="2"/>
            <w:vMerge w:val="continue"/>
            <w:vAlign w:val="center"/>
          </w:tcPr>
          <w:p>
            <w:pPr>
              <w:jc w:val="center"/>
              <w:rPr>
                <w:rFonts w:ascii="宋体"/>
                <w:bCs/>
                <w:color w:val="auto"/>
                <w:sz w:val="18"/>
                <w:szCs w:val="18"/>
              </w:rPr>
            </w:pPr>
          </w:p>
        </w:tc>
        <w:tc>
          <w:tcPr>
            <w:tcW w:w="1035" w:type="dxa"/>
            <w:gridSpan w:val="3"/>
            <w:vMerge w:val="continue"/>
          </w:tcPr>
          <w:p>
            <w:pPr>
              <w:jc w:val="center"/>
              <w:rPr>
                <w:rFonts w:ascii="宋体"/>
                <w:bCs/>
                <w:color w:val="auto"/>
                <w:sz w:val="18"/>
                <w:szCs w:val="18"/>
              </w:rPr>
            </w:pPr>
          </w:p>
        </w:tc>
        <w:tc>
          <w:tcPr>
            <w:tcW w:w="1169" w:type="dxa"/>
            <w:gridSpan w:val="2"/>
            <w:vAlign w:val="center"/>
          </w:tcPr>
          <w:p>
            <w:pPr>
              <w:jc w:val="center"/>
              <w:rPr>
                <w:rFonts w:ascii="宋体"/>
                <w:bCs/>
                <w:color w:val="auto"/>
                <w:sz w:val="18"/>
                <w:szCs w:val="18"/>
              </w:rPr>
            </w:pPr>
            <w:r>
              <w:rPr>
                <w:rFonts w:hint="eastAsia" w:ascii="宋体" w:hAnsi="宋体"/>
                <w:bCs/>
                <w:color w:val="auto"/>
                <w:sz w:val="18"/>
                <w:szCs w:val="18"/>
              </w:rPr>
              <w:t>手机</w:t>
            </w:r>
          </w:p>
        </w:tc>
        <w:tc>
          <w:tcPr>
            <w:tcW w:w="2012" w:type="dxa"/>
            <w:gridSpan w:val="2"/>
            <w:vAlign w:val="center"/>
          </w:tcPr>
          <w:p>
            <w:pPr>
              <w:jc w:val="cente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color w:val="auto"/>
                <w:sz w:val="24"/>
              </w:rPr>
            </w:pPr>
            <w:r>
              <w:rPr>
                <w:rFonts w:hint="eastAsia"/>
                <w:bCs/>
                <w:color w:val="auto"/>
                <w:sz w:val="24"/>
              </w:rPr>
              <w:t>生产/经营地址</w:t>
            </w:r>
          </w:p>
        </w:tc>
        <w:tc>
          <w:tcPr>
            <w:tcW w:w="3812" w:type="dxa"/>
            <w:gridSpan w:val="5"/>
            <w:vMerge w:val="restart"/>
            <w:vAlign w:val="center"/>
          </w:tcPr>
          <w:p>
            <w:pPr>
              <w:spacing w:line="240" w:lineRule="atLeast"/>
              <w:jc w:val="left"/>
              <w:rPr>
                <w:rFonts w:ascii="宋体"/>
                <w:bCs/>
                <w:color w:val="auto"/>
                <w:sz w:val="24"/>
              </w:rPr>
            </w:pPr>
            <w:bookmarkStart w:id="4" w:name="生产地址"/>
            <w:r>
              <w:rPr>
                <w:rFonts w:ascii="宋体"/>
                <w:bCs/>
                <w:color w:val="auto"/>
                <w:sz w:val="24"/>
              </w:rPr>
              <w:t>重庆市沙坪坝区杨梨路60号附2号2-2</w:t>
            </w:r>
            <w:bookmarkEnd w:id="4"/>
          </w:p>
        </w:tc>
        <w:tc>
          <w:tcPr>
            <w:tcW w:w="913" w:type="dxa"/>
            <w:gridSpan w:val="2"/>
            <w:vMerge w:val="restart"/>
            <w:vAlign w:val="center"/>
          </w:tcPr>
          <w:p>
            <w:pPr>
              <w:jc w:val="center"/>
              <w:rPr>
                <w:rFonts w:ascii="宋体"/>
                <w:bCs/>
                <w:color w:val="auto"/>
                <w:sz w:val="18"/>
                <w:szCs w:val="18"/>
              </w:rPr>
            </w:pPr>
            <w:r>
              <w:rPr>
                <w:rFonts w:hint="eastAsia" w:ascii="宋体" w:hAnsi="宋体"/>
                <w:bCs/>
                <w:color w:val="auto"/>
                <w:sz w:val="18"/>
                <w:szCs w:val="18"/>
              </w:rPr>
              <w:t>联系人</w:t>
            </w:r>
          </w:p>
        </w:tc>
        <w:tc>
          <w:tcPr>
            <w:tcW w:w="1035" w:type="dxa"/>
            <w:gridSpan w:val="3"/>
            <w:vMerge w:val="restart"/>
            <w:vAlign w:val="center"/>
          </w:tcPr>
          <w:p>
            <w:pPr>
              <w:jc w:val="center"/>
              <w:rPr>
                <w:bCs/>
                <w:color w:val="auto"/>
                <w:sz w:val="18"/>
                <w:szCs w:val="18"/>
              </w:rPr>
            </w:pPr>
            <w:bookmarkStart w:id="5" w:name="联系人"/>
            <w:r>
              <w:rPr>
                <w:bCs/>
                <w:color w:val="auto"/>
                <w:sz w:val="18"/>
                <w:szCs w:val="18"/>
              </w:rPr>
              <w:t>王红</w:t>
            </w:r>
            <w:bookmarkEnd w:id="5"/>
          </w:p>
        </w:tc>
        <w:tc>
          <w:tcPr>
            <w:tcW w:w="1169" w:type="dxa"/>
            <w:gridSpan w:val="2"/>
            <w:vAlign w:val="center"/>
          </w:tcPr>
          <w:p>
            <w:pPr>
              <w:jc w:val="center"/>
              <w:rPr>
                <w:rFonts w:ascii="宋体"/>
                <w:bCs/>
                <w:color w:val="auto"/>
                <w:sz w:val="18"/>
                <w:szCs w:val="18"/>
              </w:rPr>
            </w:pPr>
            <w:r>
              <w:rPr>
                <w:rFonts w:hint="eastAsia" w:ascii="宋体" w:hAnsi="宋体"/>
                <w:bCs/>
                <w:color w:val="auto"/>
                <w:sz w:val="18"/>
                <w:szCs w:val="18"/>
              </w:rPr>
              <w:t>固定电话</w:t>
            </w:r>
          </w:p>
        </w:tc>
        <w:tc>
          <w:tcPr>
            <w:tcW w:w="2012" w:type="dxa"/>
            <w:gridSpan w:val="2"/>
            <w:vAlign w:val="center"/>
          </w:tcPr>
          <w:p>
            <w:pPr>
              <w:jc w:val="center"/>
              <w:rPr>
                <w:rFonts w:ascii="宋体"/>
                <w:bCs/>
                <w:color w:val="auto"/>
                <w:sz w:val="24"/>
              </w:rPr>
            </w:pPr>
            <w:bookmarkStart w:id="6" w:name="联系人电话"/>
            <w:r>
              <w:rPr>
                <w:rFonts w:ascii="宋体"/>
                <w:bCs/>
                <w:color w:val="auto"/>
                <w:sz w:val="24"/>
              </w:rPr>
              <w:t>18883911186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color w:val="auto"/>
                <w:sz w:val="24"/>
              </w:rPr>
            </w:pPr>
          </w:p>
        </w:tc>
        <w:tc>
          <w:tcPr>
            <w:tcW w:w="3812" w:type="dxa"/>
            <w:gridSpan w:val="5"/>
            <w:vMerge w:val="continue"/>
          </w:tcPr>
          <w:p>
            <w:pPr>
              <w:jc w:val="center"/>
              <w:rPr>
                <w:rFonts w:ascii="宋体"/>
                <w:bCs/>
                <w:color w:val="auto"/>
                <w:sz w:val="24"/>
              </w:rPr>
            </w:pPr>
          </w:p>
        </w:tc>
        <w:tc>
          <w:tcPr>
            <w:tcW w:w="913" w:type="dxa"/>
            <w:gridSpan w:val="2"/>
            <w:vMerge w:val="continue"/>
            <w:vAlign w:val="center"/>
          </w:tcPr>
          <w:p>
            <w:pPr>
              <w:jc w:val="center"/>
              <w:rPr>
                <w:rFonts w:ascii="宋体"/>
                <w:bCs/>
                <w:color w:val="auto"/>
                <w:sz w:val="18"/>
                <w:szCs w:val="18"/>
              </w:rPr>
            </w:pPr>
          </w:p>
        </w:tc>
        <w:tc>
          <w:tcPr>
            <w:tcW w:w="1035" w:type="dxa"/>
            <w:gridSpan w:val="3"/>
            <w:vMerge w:val="continue"/>
          </w:tcPr>
          <w:p>
            <w:pPr>
              <w:jc w:val="center"/>
              <w:rPr>
                <w:rFonts w:ascii="宋体"/>
                <w:bCs/>
                <w:color w:val="auto"/>
                <w:sz w:val="18"/>
                <w:szCs w:val="18"/>
              </w:rPr>
            </w:pPr>
          </w:p>
        </w:tc>
        <w:tc>
          <w:tcPr>
            <w:tcW w:w="1169" w:type="dxa"/>
            <w:gridSpan w:val="2"/>
            <w:vAlign w:val="center"/>
          </w:tcPr>
          <w:p>
            <w:pPr>
              <w:jc w:val="center"/>
              <w:rPr>
                <w:rFonts w:ascii="宋体"/>
                <w:bCs/>
                <w:color w:val="auto"/>
                <w:sz w:val="18"/>
                <w:szCs w:val="18"/>
              </w:rPr>
            </w:pPr>
            <w:r>
              <w:rPr>
                <w:rFonts w:hint="eastAsia" w:ascii="宋体" w:hAnsi="宋体"/>
                <w:bCs/>
                <w:color w:val="auto"/>
                <w:sz w:val="18"/>
                <w:szCs w:val="18"/>
              </w:rPr>
              <w:t>手机</w:t>
            </w:r>
          </w:p>
        </w:tc>
        <w:tc>
          <w:tcPr>
            <w:tcW w:w="2012" w:type="dxa"/>
            <w:gridSpan w:val="2"/>
            <w:vAlign w:val="center"/>
          </w:tcPr>
          <w:p>
            <w:pPr>
              <w:jc w:val="center"/>
              <w:rPr>
                <w:rFonts w:ascii="宋体"/>
                <w:bCs/>
                <w:color w:val="auto"/>
                <w:sz w:val="24"/>
              </w:rPr>
            </w:pPr>
            <w:bookmarkStart w:id="7" w:name="联系人手机"/>
            <w:r>
              <w:rPr>
                <w:rFonts w:ascii="宋体"/>
                <w:bCs/>
                <w:color w:val="auto"/>
                <w:sz w:val="24"/>
              </w:rPr>
              <w:t>18883911186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color w:val="auto"/>
                <w:sz w:val="24"/>
              </w:rPr>
            </w:pPr>
            <w:r>
              <w:rPr>
                <w:rFonts w:hint="eastAsia"/>
                <w:bCs/>
                <w:color w:val="auto"/>
                <w:sz w:val="24"/>
              </w:rPr>
              <w:t>认证领域</w:t>
            </w:r>
          </w:p>
        </w:tc>
        <w:tc>
          <w:tcPr>
            <w:tcW w:w="8941" w:type="dxa"/>
            <w:gridSpan w:val="14"/>
            <w:vAlign w:val="center"/>
          </w:tcPr>
          <w:p>
            <w:pPr>
              <w:rPr>
                <w:rFonts w:ascii="宋体" w:hAnsi="宋体"/>
                <w:bCs/>
                <w:color w:val="auto"/>
                <w:sz w:val="24"/>
              </w:rPr>
            </w:pPr>
            <w:bookmarkStart w:id="8" w:name="审核类别"/>
            <w:bookmarkEnd w:id="8"/>
            <w:bookmarkStart w:id="9" w:name="认证领域"/>
            <w:r>
              <w:rPr>
                <w:rFonts w:ascii="宋体" w:hAnsi="宋体"/>
                <w:bCs/>
                <w:color w:val="auto"/>
                <w:sz w:val="24"/>
              </w:rPr>
              <w:t>50430建筑行业,环境管理体系,职业健康安全管理体系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color w:val="auto"/>
                <w:sz w:val="24"/>
              </w:rPr>
            </w:pPr>
            <w:r>
              <w:rPr>
                <w:rFonts w:hint="eastAsia"/>
                <w:bCs/>
                <w:color w:val="auto"/>
                <w:sz w:val="24"/>
              </w:rPr>
              <w:t>依据标准</w:t>
            </w:r>
          </w:p>
        </w:tc>
        <w:tc>
          <w:tcPr>
            <w:tcW w:w="8941" w:type="dxa"/>
            <w:gridSpan w:val="14"/>
          </w:tcPr>
          <w:p>
            <w:pPr>
              <w:rPr>
                <w:rFonts w:ascii="宋体" w:cs="宋体"/>
                <w:bCs/>
                <w:color w:val="auto"/>
                <w:sz w:val="24"/>
              </w:rPr>
            </w:pPr>
            <w:bookmarkStart w:id="10" w:name="审核依据"/>
            <w:r>
              <w:rPr>
                <w:rFonts w:ascii="宋体" w:cs="宋体"/>
                <w:bCs/>
                <w:color w:val="auto"/>
                <w:sz w:val="24"/>
              </w:rPr>
              <w:t>EC：GB/T19001-2016/ISO9001:2015和GB/T50430-2017,E：GB/T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color w:val="auto"/>
                <w:sz w:val="24"/>
              </w:rPr>
            </w:pPr>
            <w:r>
              <w:rPr>
                <w:rFonts w:hint="eastAsia"/>
                <w:bCs/>
                <w:color w:val="auto"/>
                <w:sz w:val="24"/>
              </w:rPr>
              <w:t>认证范围</w:t>
            </w:r>
          </w:p>
        </w:tc>
        <w:tc>
          <w:tcPr>
            <w:tcW w:w="8941" w:type="dxa"/>
            <w:gridSpan w:val="14"/>
            <w:vAlign w:val="center"/>
          </w:tcPr>
          <w:p>
            <w:pPr>
              <w:rPr>
                <w:rFonts w:ascii="宋体"/>
                <w:bCs/>
                <w:color w:val="auto"/>
                <w:sz w:val="24"/>
              </w:rPr>
            </w:pPr>
            <w:bookmarkStart w:id="11" w:name="审核范围"/>
            <w:r>
              <w:rPr>
                <w:rFonts w:ascii="宋体"/>
                <w:bCs/>
                <w:color w:val="auto"/>
                <w:sz w:val="24"/>
              </w:rPr>
              <w:t>EC：消防设施工程专业承包、建筑装修装饰工程专业承包。</w:t>
            </w:r>
          </w:p>
          <w:p>
            <w:pPr>
              <w:rPr>
                <w:rFonts w:ascii="宋体"/>
                <w:bCs/>
                <w:color w:val="auto"/>
                <w:sz w:val="24"/>
              </w:rPr>
            </w:pPr>
            <w:r>
              <w:rPr>
                <w:rFonts w:ascii="宋体"/>
                <w:bCs/>
                <w:color w:val="auto"/>
                <w:sz w:val="24"/>
              </w:rPr>
              <w:t>E：消防设施工程专业承包、建筑装修装饰工程专业承包所涉及场所的相关环境管理活动</w:t>
            </w:r>
          </w:p>
          <w:p>
            <w:pPr>
              <w:rPr>
                <w:rFonts w:ascii="宋体"/>
                <w:bCs/>
                <w:color w:val="auto"/>
                <w:sz w:val="24"/>
              </w:rPr>
            </w:pPr>
            <w:r>
              <w:rPr>
                <w:rFonts w:ascii="宋体"/>
                <w:bCs/>
                <w:color w:val="auto"/>
                <w:sz w:val="24"/>
              </w:rPr>
              <w:t>O：消防设施工程专业承包、建筑装修装饰工程专业承包所涉及场所的相关职业健康安全管理活动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color w:val="auto"/>
                <w:sz w:val="24"/>
              </w:rPr>
            </w:pPr>
            <w:r>
              <w:rPr>
                <w:rFonts w:hint="eastAsia"/>
                <w:bCs/>
                <w:color w:val="auto"/>
                <w:sz w:val="24"/>
              </w:rPr>
              <w:t>是否在</w:t>
            </w:r>
          </w:p>
          <w:p>
            <w:pPr>
              <w:spacing w:line="240" w:lineRule="atLeast"/>
              <w:jc w:val="center"/>
              <w:rPr>
                <w:bCs/>
                <w:color w:val="auto"/>
                <w:sz w:val="24"/>
              </w:rPr>
            </w:pPr>
            <w:r>
              <w:rPr>
                <w:rFonts w:hint="eastAsia"/>
                <w:bCs/>
                <w:color w:val="auto"/>
                <w:sz w:val="24"/>
              </w:rPr>
              <w:t>认可范围</w:t>
            </w:r>
          </w:p>
        </w:tc>
        <w:tc>
          <w:tcPr>
            <w:tcW w:w="2093" w:type="dxa"/>
            <w:gridSpan w:val="2"/>
            <w:vAlign w:val="center"/>
          </w:tcPr>
          <w:p>
            <w:pPr>
              <w:rPr>
                <w:rFonts w:ascii="宋体"/>
                <w:bCs/>
                <w:color w:val="auto"/>
                <w:sz w:val="24"/>
              </w:rPr>
            </w:pPr>
            <w:r>
              <w:rPr>
                <w:rFonts w:ascii="宋体"/>
                <w:bCs/>
                <w:color w:val="auto"/>
                <w:sz w:val="24"/>
              </w:rPr>
              <w:t>否</w:t>
            </w:r>
          </w:p>
        </w:tc>
        <w:tc>
          <w:tcPr>
            <w:tcW w:w="1515" w:type="dxa"/>
            <w:gridSpan w:val="2"/>
            <w:vAlign w:val="center"/>
          </w:tcPr>
          <w:p>
            <w:pPr>
              <w:rPr>
                <w:rFonts w:ascii="宋体"/>
                <w:bCs/>
                <w:color w:val="auto"/>
                <w:sz w:val="24"/>
              </w:rPr>
            </w:pPr>
            <w:r>
              <w:rPr>
                <w:rFonts w:hint="eastAsia"/>
                <w:bCs/>
                <w:color w:val="auto"/>
                <w:sz w:val="24"/>
              </w:rPr>
              <w:t>不适用条款</w:t>
            </w:r>
          </w:p>
        </w:tc>
        <w:tc>
          <w:tcPr>
            <w:tcW w:w="1462" w:type="dxa"/>
            <w:gridSpan w:val="4"/>
            <w:vAlign w:val="center"/>
          </w:tcPr>
          <w:p>
            <w:pPr>
              <w:rPr>
                <w:bCs/>
                <w:color w:val="auto"/>
                <w:sz w:val="24"/>
              </w:rPr>
            </w:pPr>
            <w:bookmarkStart w:id="12" w:name="删减条约"/>
            <w:bookmarkEnd w:id="12"/>
          </w:p>
        </w:tc>
        <w:tc>
          <w:tcPr>
            <w:tcW w:w="1859" w:type="dxa"/>
            <w:gridSpan w:val="4"/>
            <w:vAlign w:val="center"/>
          </w:tcPr>
          <w:p>
            <w:pPr>
              <w:jc w:val="center"/>
              <w:rPr>
                <w:bCs/>
                <w:color w:val="auto"/>
                <w:sz w:val="24"/>
              </w:rPr>
            </w:pPr>
            <w:r>
              <w:rPr>
                <w:rFonts w:hint="eastAsia" w:ascii="宋体" w:hAnsi="宋体"/>
                <w:bCs/>
                <w:color w:val="auto"/>
                <w:sz w:val="24"/>
              </w:rPr>
              <w:t>专业代码</w:t>
            </w:r>
          </w:p>
        </w:tc>
        <w:tc>
          <w:tcPr>
            <w:tcW w:w="2012" w:type="dxa"/>
            <w:gridSpan w:val="2"/>
            <w:vAlign w:val="center"/>
          </w:tcPr>
          <w:p>
            <w:pPr>
              <w:rPr>
                <w:bCs/>
                <w:color w:val="auto"/>
                <w:sz w:val="24"/>
              </w:rPr>
            </w:pPr>
            <w:bookmarkStart w:id="13" w:name="专业代码"/>
            <w:r>
              <w:rPr>
                <w:bCs/>
                <w:color w:val="auto"/>
                <w:sz w:val="24"/>
              </w:rPr>
              <w:t>EC：28.07.01;28.08.01;28.08.02;28.08.03;28.08.04;28.08.05</w:t>
            </w:r>
          </w:p>
          <w:p>
            <w:pPr>
              <w:rPr>
                <w:bCs/>
                <w:color w:val="auto"/>
                <w:sz w:val="24"/>
              </w:rPr>
            </w:pPr>
            <w:r>
              <w:rPr>
                <w:bCs/>
                <w:color w:val="auto"/>
                <w:sz w:val="24"/>
              </w:rPr>
              <w:t>E：28.07.01;28.08.01;28.08.02;28.08.03;28.08.04;28.08.05</w:t>
            </w:r>
          </w:p>
          <w:p>
            <w:pPr>
              <w:rPr>
                <w:bCs/>
                <w:color w:val="auto"/>
                <w:sz w:val="24"/>
              </w:rPr>
            </w:pPr>
            <w:r>
              <w:rPr>
                <w:bCs/>
                <w:color w:val="auto"/>
                <w:sz w:val="24"/>
              </w:rPr>
              <w:t>O：28.07.01;28.08.01;28.08.02;28.08.03;28.08.04;28.08.05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color w:val="auto"/>
                <w:sz w:val="24"/>
              </w:rPr>
            </w:pPr>
            <w:r>
              <w:rPr>
                <w:rFonts w:hint="eastAsia" w:ascii="宋体"/>
                <w:bCs/>
                <w:color w:val="auto"/>
                <w:sz w:val="24"/>
              </w:rPr>
              <w:t>风险等级</w:t>
            </w:r>
          </w:p>
        </w:tc>
        <w:tc>
          <w:tcPr>
            <w:tcW w:w="8941" w:type="dxa"/>
            <w:gridSpan w:val="14"/>
            <w:vAlign w:val="center"/>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color w:val="auto"/>
                <w:sz w:val="24"/>
              </w:rPr>
            </w:pPr>
            <w:r>
              <w:rPr>
                <w:rFonts w:hint="eastAsia"/>
                <w:bCs/>
                <w:color w:val="auto"/>
                <w:sz w:val="24"/>
              </w:rPr>
              <w:t>多场所情况</w:t>
            </w:r>
          </w:p>
        </w:tc>
        <w:tc>
          <w:tcPr>
            <w:tcW w:w="5070" w:type="dxa"/>
            <w:gridSpan w:val="8"/>
            <w:vAlign w:val="center"/>
          </w:tcPr>
          <w:p>
            <w:pPr>
              <w:spacing w:before="156" w:line="240" w:lineRule="exact"/>
              <w:rPr>
                <w:rFonts w:ascii="宋体"/>
                <w:bCs/>
                <w:color w:val="auto"/>
                <w:sz w:val="24"/>
              </w:rPr>
            </w:pPr>
          </w:p>
        </w:tc>
        <w:tc>
          <w:tcPr>
            <w:tcW w:w="1859" w:type="dxa"/>
            <w:gridSpan w:val="4"/>
            <w:vAlign w:val="center"/>
          </w:tcPr>
          <w:p>
            <w:pPr>
              <w:spacing w:before="156" w:line="240" w:lineRule="exact"/>
              <w:jc w:val="center"/>
              <w:rPr>
                <w:rFonts w:ascii="宋体"/>
                <w:bCs/>
                <w:color w:val="auto"/>
                <w:sz w:val="24"/>
              </w:rPr>
            </w:pPr>
            <w:r>
              <w:rPr>
                <w:rFonts w:hint="eastAsia" w:ascii="宋体" w:hAnsi="宋体"/>
                <w:bCs/>
                <w:color w:val="auto"/>
                <w:sz w:val="24"/>
              </w:rPr>
              <w:t>体系结合度</w:t>
            </w:r>
          </w:p>
        </w:tc>
        <w:tc>
          <w:tcPr>
            <w:tcW w:w="2012" w:type="dxa"/>
            <w:gridSpan w:val="2"/>
            <w:vAlign w:val="center"/>
          </w:tcPr>
          <w:p>
            <w:pPr>
              <w:spacing w:before="156" w:line="240" w:lineRule="exact"/>
              <w:jc w:val="left"/>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color w:val="auto"/>
                <w:sz w:val="24"/>
              </w:rPr>
            </w:pPr>
            <w:r>
              <w:rPr>
                <w:rFonts w:hint="eastAsia"/>
                <w:bCs/>
                <w:color w:val="auto"/>
                <w:sz w:val="24"/>
              </w:rPr>
              <w:t>多场所抽</w:t>
            </w:r>
          </w:p>
          <w:p>
            <w:pPr>
              <w:ind w:firstLine="310"/>
              <w:rPr>
                <w:bCs/>
                <w:color w:val="auto"/>
                <w:sz w:val="24"/>
              </w:rPr>
            </w:pPr>
            <w:r>
              <w:rPr>
                <w:rFonts w:hint="eastAsia"/>
                <w:bCs/>
                <w:color w:val="auto"/>
                <w:sz w:val="24"/>
              </w:rPr>
              <w:t>样及说明</w:t>
            </w:r>
          </w:p>
        </w:tc>
        <w:tc>
          <w:tcPr>
            <w:tcW w:w="8941" w:type="dxa"/>
            <w:gridSpan w:val="14"/>
            <w:vAlign w:val="center"/>
          </w:tcPr>
          <w:p>
            <w:pPr>
              <w:spacing w:before="156" w:line="240" w:lineRule="exact"/>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color w:val="auto"/>
                <w:szCs w:val="21"/>
              </w:rPr>
            </w:pPr>
            <w:r>
              <w:rPr>
                <w:rFonts w:hint="eastAsia"/>
                <w:bCs/>
                <w:color w:val="auto"/>
                <w:szCs w:val="21"/>
              </w:rPr>
              <w:t>是否存在</w:t>
            </w:r>
          </w:p>
          <w:p>
            <w:pPr>
              <w:jc w:val="center"/>
              <w:rPr>
                <w:bCs/>
                <w:color w:val="auto"/>
                <w:sz w:val="24"/>
              </w:rPr>
            </w:pPr>
            <w:r>
              <w:rPr>
                <w:rFonts w:hint="eastAsia"/>
                <w:bCs/>
                <w:color w:val="auto"/>
                <w:szCs w:val="21"/>
              </w:rPr>
              <w:t>临时场所</w:t>
            </w:r>
          </w:p>
        </w:tc>
        <w:tc>
          <w:tcPr>
            <w:tcW w:w="1845" w:type="dxa"/>
            <w:vAlign w:val="center"/>
          </w:tcPr>
          <w:p>
            <w:pPr>
              <w:spacing w:before="156" w:line="240" w:lineRule="exact"/>
              <w:rPr>
                <w:rFonts w:ascii="宋体"/>
                <w:bCs/>
                <w:color w:val="auto"/>
                <w:szCs w:val="21"/>
              </w:rPr>
            </w:pPr>
            <w:r>
              <w:rPr>
                <w:rFonts w:hint="eastAsia" w:ascii="宋体" w:hAnsi="宋体" w:cs="宋体"/>
                <w:bCs/>
                <w:color w:val="auto"/>
                <w:szCs w:val="21"/>
              </w:rPr>
              <w:t>■</w:t>
            </w:r>
            <w:r>
              <w:rPr>
                <w:rFonts w:hint="eastAsia" w:ascii="宋体" w:hAnsi="宋体"/>
                <w:bCs/>
                <w:color w:val="auto"/>
                <w:szCs w:val="21"/>
              </w:rPr>
              <w:t>不存在</w:t>
            </w:r>
            <w:bookmarkStart w:id="14" w:name="OLE_LINK3"/>
          </w:p>
          <w:p>
            <w:pPr>
              <w:spacing w:before="156" w:line="240" w:lineRule="exact"/>
              <w:rPr>
                <w:rFonts w:ascii="宋体"/>
                <w:bCs/>
                <w:color w:val="auto"/>
                <w:szCs w:val="21"/>
              </w:rPr>
            </w:pPr>
            <w:r>
              <w:rPr>
                <w:rFonts w:hint="eastAsia" w:ascii="宋体" w:hAnsi="宋体"/>
                <w:bCs/>
                <w:color w:val="auto"/>
                <w:szCs w:val="21"/>
              </w:rPr>
              <w:t>□</w:t>
            </w:r>
            <w:bookmarkEnd w:id="14"/>
            <w:r>
              <w:rPr>
                <w:rFonts w:hint="eastAsia" w:ascii="宋体" w:hAnsi="宋体"/>
                <w:bCs/>
                <w:color w:val="auto"/>
                <w:szCs w:val="21"/>
              </w:rPr>
              <w:t>存在：个</w:t>
            </w:r>
          </w:p>
        </w:tc>
        <w:tc>
          <w:tcPr>
            <w:tcW w:w="1500" w:type="dxa"/>
            <w:gridSpan w:val="2"/>
            <w:vAlign w:val="center"/>
          </w:tcPr>
          <w:p>
            <w:pPr>
              <w:jc w:val="center"/>
              <w:rPr>
                <w:bCs/>
                <w:color w:val="auto"/>
                <w:szCs w:val="21"/>
              </w:rPr>
            </w:pPr>
            <w:r>
              <w:rPr>
                <w:rFonts w:hint="eastAsia"/>
                <w:bCs/>
                <w:color w:val="auto"/>
                <w:szCs w:val="21"/>
              </w:rPr>
              <w:t>是否存在外包</w:t>
            </w:r>
          </w:p>
          <w:p>
            <w:pPr>
              <w:jc w:val="center"/>
              <w:rPr>
                <w:rFonts w:ascii="宋体"/>
                <w:bCs/>
                <w:color w:val="auto"/>
                <w:szCs w:val="21"/>
              </w:rPr>
            </w:pPr>
            <w:r>
              <w:rPr>
                <w:rFonts w:hint="eastAsia"/>
                <w:bCs/>
                <w:color w:val="auto"/>
                <w:szCs w:val="21"/>
              </w:rPr>
              <w:t>过程及活动</w:t>
            </w:r>
          </w:p>
        </w:tc>
        <w:tc>
          <w:tcPr>
            <w:tcW w:w="990" w:type="dxa"/>
            <w:gridSpan w:val="3"/>
            <w:vAlign w:val="center"/>
          </w:tcPr>
          <w:p>
            <w:pPr>
              <w:spacing w:before="156" w:line="240" w:lineRule="exact"/>
              <w:jc w:val="left"/>
              <w:rPr>
                <w:rFonts w:ascii="宋体"/>
                <w:bCs/>
                <w:color w:val="auto"/>
                <w:szCs w:val="21"/>
              </w:rPr>
            </w:pPr>
            <w:r>
              <w:rPr>
                <w:rFonts w:hint="eastAsia" w:ascii="宋体" w:hAnsi="宋体" w:cs="宋体"/>
                <w:bCs/>
                <w:color w:val="auto"/>
                <w:szCs w:val="21"/>
              </w:rPr>
              <w:t>■</w:t>
            </w:r>
            <w:r>
              <w:rPr>
                <w:rFonts w:hint="eastAsia" w:ascii="宋体" w:hAnsi="宋体"/>
                <w:bCs/>
                <w:color w:val="auto"/>
                <w:szCs w:val="21"/>
              </w:rPr>
              <w:t>否</w:t>
            </w:r>
          </w:p>
          <w:p>
            <w:pPr>
              <w:spacing w:before="156" w:line="240" w:lineRule="exact"/>
              <w:jc w:val="left"/>
              <w:rPr>
                <w:rFonts w:ascii="宋体"/>
                <w:bCs/>
                <w:color w:val="auto"/>
                <w:szCs w:val="21"/>
              </w:rPr>
            </w:pPr>
            <w:bookmarkStart w:id="15" w:name="OLE_LINK10"/>
            <w:r>
              <w:rPr>
                <w:rFonts w:hint="eastAsia" w:ascii="宋体" w:hAnsi="宋体"/>
                <w:bCs/>
                <w:color w:val="auto"/>
                <w:szCs w:val="21"/>
              </w:rPr>
              <w:t>□</w:t>
            </w:r>
            <w:bookmarkEnd w:id="15"/>
            <w:r>
              <w:rPr>
                <w:rFonts w:hint="eastAsia" w:ascii="宋体" w:hAnsi="宋体"/>
                <w:bCs/>
                <w:color w:val="auto"/>
                <w:szCs w:val="21"/>
              </w:rPr>
              <w:t>是</w:t>
            </w:r>
          </w:p>
        </w:tc>
        <w:tc>
          <w:tcPr>
            <w:tcW w:w="1215" w:type="dxa"/>
            <w:gridSpan w:val="3"/>
            <w:vAlign w:val="center"/>
          </w:tcPr>
          <w:p>
            <w:pPr>
              <w:spacing w:before="156" w:line="240" w:lineRule="exact"/>
              <w:jc w:val="left"/>
              <w:rPr>
                <w:rFonts w:ascii="宋体"/>
                <w:bCs/>
                <w:color w:val="auto"/>
                <w:szCs w:val="21"/>
              </w:rPr>
            </w:pPr>
            <w:r>
              <w:rPr>
                <w:rFonts w:hint="eastAsia" w:ascii="宋体"/>
                <w:bCs/>
                <w:color w:val="auto"/>
                <w:szCs w:val="21"/>
              </w:rPr>
              <w:t>企业人数</w:t>
            </w:r>
          </w:p>
        </w:tc>
        <w:tc>
          <w:tcPr>
            <w:tcW w:w="1005" w:type="dxa"/>
            <w:gridSpan w:val="2"/>
            <w:vAlign w:val="center"/>
          </w:tcPr>
          <w:p>
            <w:pPr>
              <w:spacing w:before="156" w:line="240" w:lineRule="exact"/>
              <w:jc w:val="left"/>
              <w:rPr>
                <w:rFonts w:ascii="宋体"/>
                <w:bCs/>
                <w:color w:val="auto"/>
                <w:szCs w:val="21"/>
              </w:rPr>
            </w:pPr>
            <w:bookmarkStart w:id="16" w:name="企业人数"/>
            <w:r>
              <w:rPr>
                <w:rFonts w:ascii="宋体"/>
                <w:bCs/>
                <w:color w:val="auto"/>
                <w:szCs w:val="21"/>
              </w:rPr>
              <w:t>15</w:t>
            </w:r>
            <w:bookmarkEnd w:id="16"/>
          </w:p>
        </w:tc>
        <w:tc>
          <w:tcPr>
            <w:tcW w:w="1290" w:type="dxa"/>
            <w:gridSpan w:val="2"/>
            <w:vAlign w:val="center"/>
          </w:tcPr>
          <w:p>
            <w:pPr>
              <w:spacing w:before="156" w:line="240" w:lineRule="exact"/>
              <w:jc w:val="left"/>
              <w:rPr>
                <w:rFonts w:ascii="宋体"/>
                <w:bCs/>
                <w:color w:val="auto"/>
                <w:szCs w:val="21"/>
              </w:rPr>
            </w:pPr>
            <w:r>
              <w:rPr>
                <w:rFonts w:hint="eastAsia" w:ascii="宋体" w:hAnsi="宋体"/>
                <w:bCs/>
                <w:color w:val="auto"/>
                <w:szCs w:val="21"/>
              </w:rPr>
              <w:t>体系范围内覆盖人数</w:t>
            </w:r>
          </w:p>
        </w:tc>
        <w:tc>
          <w:tcPr>
            <w:tcW w:w="1096" w:type="dxa"/>
            <w:vAlign w:val="center"/>
          </w:tcPr>
          <w:p>
            <w:pPr>
              <w:spacing w:before="156" w:line="240" w:lineRule="exact"/>
              <w:jc w:val="left"/>
              <w:rPr>
                <w:rFonts w:ascii="宋体"/>
                <w:bCs/>
                <w:color w:val="auto"/>
                <w:szCs w:val="21"/>
              </w:rPr>
            </w:pPr>
            <w:bookmarkStart w:id="17" w:name="体系人数"/>
            <w:r>
              <w:rPr>
                <w:rFonts w:ascii="宋体"/>
                <w:bCs/>
                <w:color w:val="auto"/>
                <w:szCs w:val="21"/>
              </w:rPr>
              <w:t>EC:15,E:15,O:15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color w:val="auto"/>
                <w:sz w:val="24"/>
              </w:rPr>
            </w:pPr>
            <w:r>
              <w:rPr>
                <w:rFonts w:hint="eastAsia"/>
                <w:bCs/>
                <w:color w:val="auto"/>
                <w:sz w:val="24"/>
              </w:rPr>
              <w:t>审核方案实施情况</w:t>
            </w:r>
          </w:p>
        </w:tc>
        <w:tc>
          <w:tcPr>
            <w:tcW w:w="8941" w:type="dxa"/>
            <w:gridSpan w:val="14"/>
            <w:vAlign w:val="center"/>
          </w:tcPr>
          <w:p>
            <w:pPr>
              <w:rPr>
                <w:rFonts w:ascii="宋体" w:hAnsi="宋体" w:cs="宋体"/>
                <w:bCs/>
                <w:color w:val="auto"/>
                <w:sz w:val="24"/>
              </w:rPr>
            </w:pPr>
            <w:r>
              <w:rPr>
                <w:rFonts w:hint="eastAsia" w:ascii="宋体" w:hAnsi="宋体" w:cs="宋体"/>
                <w:bCs/>
                <w:color w:val="auto"/>
                <w:sz w:val="24"/>
              </w:rPr>
              <w:t xml:space="preserve">第一阶段：现场审核  </w:t>
            </w:r>
            <w:r>
              <w:rPr>
                <w:rFonts w:hint="eastAsia" w:ascii="宋体" w:hAnsi="宋体" w:cs="宋体"/>
                <w:bCs/>
                <w:color w:val="auto"/>
                <w:sz w:val="24"/>
                <w:lang w:val="en-US" w:eastAsia="zh-CN"/>
              </w:rPr>
              <w:t>3</w:t>
            </w:r>
            <w:r>
              <w:rPr>
                <w:rFonts w:hint="eastAsia" w:ascii="宋体" w:hAnsi="宋体" w:cs="宋体"/>
                <w:bCs/>
                <w:color w:val="auto"/>
                <w:sz w:val="24"/>
              </w:rPr>
              <w:t xml:space="preserve">  人/日</w:t>
            </w:r>
          </w:p>
          <w:p>
            <w:pPr>
              <w:rPr>
                <w:rFonts w:ascii="宋体" w:hAnsi="宋体" w:cs="宋体"/>
                <w:bCs/>
                <w:color w:val="auto"/>
                <w:sz w:val="24"/>
              </w:rPr>
            </w:pPr>
          </w:p>
          <w:p>
            <w:pPr>
              <w:rPr>
                <w:rFonts w:ascii="宋体" w:hAnsi="宋体" w:cs="宋体"/>
                <w:bCs/>
                <w:color w:val="auto"/>
                <w:sz w:val="24"/>
              </w:rPr>
            </w:pPr>
            <w:r>
              <w:rPr>
                <w:rFonts w:hint="eastAsia" w:ascii="宋体" w:hAnsi="宋体" w:cs="宋体"/>
                <w:bCs/>
                <w:color w:val="auto"/>
                <w:sz w:val="24"/>
              </w:rPr>
              <w:t>审核组专业</w:t>
            </w:r>
            <w:r>
              <w:rPr>
                <w:rFonts w:ascii="Wingdings 2" w:hAnsi="Wingdings 2" w:cs="宋体"/>
                <w:bCs/>
                <w:color w:val="auto"/>
                <w:sz w:val="28"/>
                <w:szCs w:val="28"/>
              </w:rPr>
              <w:sym w:font="Wingdings 2" w:char="F0BE"/>
            </w:r>
            <w:r>
              <w:rPr>
                <w:rFonts w:hint="eastAsia" w:ascii="宋体" w:hAnsi="宋体" w:cs="宋体"/>
                <w:bCs/>
                <w:color w:val="auto"/>
                <w:sz w:val="24"/>
              </w:rPr>
              <w:t>能 □否满足要求，□需□否增派审核员/技术专家，</w:t>
            </w:r>
          </w:p>
          <w:p>
            <w:pPr>
              <w:rPr>
                <w:rFonts w:ascii="宋体" w:hAnsi="宋体" w:cs="宋体"/>
                <w:bCs/>
                <w:color w:val="auto"/>
                <w:sz w:val="24"/>
              </w:rPr>
            </w:pPr>
            <w:r>
              <w:rPr>
                <w:rFonts w:hint="eastAsia" w:ascii="宋体" w:hAnsi="宋体" w:cs="宋体"/>
                <w:bCs/>
                <w:color w:val="auto"/>
                <w:sz w:val="24"/>
              </w:rPr>
              <w:t>各小组分工</w:t>
            </w:r>
            <w:r>
              <w:rPr>
                <w:rFonts w:ascii="Wingdings 2" w:hAnsi="Wingdings 2" w:cs="宋体"/>
                <w:bCs/>
                <w:color w:val="auto"/>
                <w:sz w:val="28"/>
                <w:szCs w:val="28"/>
              </w:rPr>
              <w:sym w:font="Wingdings 2" w:char="F0BE"/>
            </w:r>
            <w:r>
              <w:rPr>
                <w:rFonts w:hint="eastAsia" w:ascii="宋体" w:hAnsi="宋体" w:cs="宋体"/>
                <w:bCs/>
                <w:color w:val="auto"/>
                <w:sz w:val="24"/>
              </w:rPr>
              <w:t xml:space="preserve">是 □否合理，时间分配□是 □否足够，说明：                   </w:t>
            </w:r>
          </w:p>
          <w:p>
            <w:pPr>
              <w:rPr>
                <w:rFonts w:ascii="宋体" w:hAnsi="宋体" w:cs="宋体"/>
                <w:bCs/>
                <w:color w:val="auto"/>
                <w:sz w:val="24"/>
              </w:rPr>
            </w:pPr>
            <w:r>
              <w:rPr>
                <w:rFonts w:hint="eastAsia" w:ascii="宋体" w:hAnsi="宋体" w:cs="宋体"/>
                <w:bCs/>
                <w:color w:val="auto"/>
                <w:sz w:val="24"/>
              </w:rPr>
              <w:t>一阶段经现场审核发现存在问题：</w:t>
            </w:r>
          </w:p>
          <w:p>
            <w:pPr>
              <w:rPr>
                <w:rFonts w:ascii="宋体" w:hAnsi="宋体" w:cs="宋体"/>
                <w:bCs/>
                <w:color w:val="auto"/>
                <w:sz w:val="24"/>
              </w:rPr>
            </w:pPr>
          </w:p>
          <w:p>
            <w:pPr>
              <w:rPr>
                <w:rFonts w:ascii="宋体" w:hAnsi="宋体" w:cs="宋体"/>
                <w:bCs/>
                <w:color w:val="auto"/>
                <w:sz w:val="24"/>
              </w:rPr>
            </w:pPr>
            <w:r>
              <w:rPr>
                <w:rFonts w:hint="eastAsia" w:ascii="宋体" w:hAnsi="宋体" w:cs="宋体"/>
                <w:bCs/>
                <w:color w:val="auto"/>
                <w:sz w:val="24"/>
              </w:rPr>
              <w:t>专业范围确定：</w:t>
            </w:r>
            <w:r>
              <w:rPr>
                <w:rFonts w:ascii="Wingdings 2" w:hAnsi="Wingdings 2" w:cs="宋体"/>
                <w:bCs/>
                <w:color w:val="auto"/>
                <w:sz w:val="28"/>
                <w:szCs w:val="28"/>
              </w:rPr>
              <w:sym w:font="Wingdings 2" w:char="F0BE"/>
            </w:r>
            <w:r>
              <w:rPr>
                <w:rFonts w:hint="eastAsia" w:ascii="宋体" w:hAnsi="宋体" w:cs="宋体"/>
                <w:bCs/>
                <w:color w:val="auto"/>
                <w:sz w:val="24"/>
              </w:rPr>
              <w:t>保持原申请范围  □重新确定认证范围：</w:t>
            </w:r>
          </w:p>
          <w:p>
            <w:pPr>
              <w:rPr>
                <w:rFonts w:ascii="宋体" w:hAnsi="宋体" w:cs="宋体"/>
                <w:bCs/>
                <w:color w:val="auto"/>
                <w:sz w:val="24"/>
              </w:rPr>
            </w:pPr>
          </w:p>
          <w:p>
            <w:pPr>
              <w:rPr>
                <w:rFonts w:ascii="宋体" w:hAnsi="宋体" w:cs="宋体"/>
                <w:bCs/>
                <w:color w:val="auto"/>
                <w:sz w:val="24"/>
              </w:rPr>
            </w:pPr>
            <w:r>
              <w:rPr>
                <w:rFonts w:hint="eastAsia" w:ascii="宋体" w:hAnsi="宋体" w:eastAsia="宋体" w:cs="宋体"/>
                <w:bCs/>
                <w:color w:val="auto"/>
                <w:sz w:val="24"/>
              </w:rPr>
              <w:t>■</w:t>
            </w:r>
            <w:r>
              <w:rPr>
                <w:rFonts w:hint="eastAsia" w:ascii="宋体" w:hAnsi="宋体" w:cs="宋体"/>
                <w:bCs/>
                <w:color w:val="auto"/>
                <w:sz w:val="24"/>
              </w:rPr>
              <w:t>可进行二阶段审核  □需整改后进行二阶段审核  □不具备二阶段审核</w:t>
            </w:r>
          </w:p>
          <w:p>
            <w:pPr>
              <w:rPr>
                <w:rFonts w:ascii="宋体" w:hAnsi="宋体" w:cs="宋体"/>
                <w:bCs/>
                <w:color w:val="auto"/>
                <w:sz w:val="24"/>
              </w:rPr>
            </w:pPr>
            <w:r>
              <w:rPr>
                <w:rFonts w:hint="eastAsia" w:ascii="宋体" w:hAnsi="宋体" w:cs="宋体"/>
                <w:bCs/>
                <w:color w:val="auto"/>
                <w:sz w:val="24"/>
              </w:rPr>
              <w:t>□受审核方一体化程度：</w:t>
            </w:r>
          </w:p>
          <w:p>
            <w:pPr>
              <w:pStyle w:val="2"/>
              <w:ind w:firstLine="0" w:firstLineChars="0"/>
              <w:rPr>
                <w:rFonts w:ascii="宋体" w:hAnsi="宋体" w:cs="宋体"/>
                <w:bCs/>
                <w:color w:val="auto"/>
                <w:sz w:val="24"/>
              </w:rPr>
            </w:pPr>
            <w:r>
              <w:rPr>
                <w:rFonts w:hint="eastAsia" w:ascii="宋体" w:hAnsi="宋体" w:cs="宋体"/>
                <w:bCs/>
                <w:color w:val="auto"/>
                <w:sz w:val="24"/>
              </w:rPr>
              <w:t>远程审核（适用时）：</w:t>
            </w:r>
          </w:p>
          <w:p>
            <w:pPr>
              <w:pStyle w:val="2"/>
              <w:ind w:firstLine="0" w:firstLineChars="0"/>
              <w:rPr>
                <w:rFonts w:ascii="宋体" w:hAnsi="宋体" w:cs="宋体"/>
                <w:bCs/>
                <w:color w:val="auto"/>
                <w:sz w:val="24"/>
              </w:rPr>
            </w:pPr>
            <w:r>
              <w:rPr>
                <w:rFonts w:hint="eastAsia" w:ascii="宋体" w:hAnsi="宋体" w:cs="宋体"/>
                <w:bCs/>
                <w:color w:val="auto"/>
                <w:sz w:val="24"/>
              </w:rPr>
              <w:t xml:space="preserve">已安排的远程审核是否完成   □是    □否 </w:t>
            </w:r>
          </w:p>
          <w:p>
            <w:pPr>
              <w:pStyle w:val="2"/>
              <w:ind w:firstLine="0" w:firstLineChars="0"/>
              <w:rPr>
                <w:rFonts w:ascii="宋体" w:hAnsi="宋体" w:cs="宋体"/>
                <w:bCs/>
                <w:color w:val="auto"/>
                <w:sz w:val="24"/>
              </w:rPr>
            </w:pPr>
            <w:r>
              <w:rPr>
                <w:rFonts w:hint="eastAsia" w:ascii="宋体" w:hAnsi="宋体" w:cs="宋体"/>
                <w:bCs/>
                <w:color w:val="auto"/>
                <w:sz w:val="24"/>
              </w:rPr>
              <w:t xml:space="preserve">本次远程活动中，是否实现审核目标     □是    □否 </w:t>
            </w:r>
          </w:p>
          <w:p>
            <w:pPr>
              <w:rPr>
                <w:rFonts w:ascii="宋体" w:hAnsi="宋体" w:cs="宋体"/>
                <w:bCs/>
                <w:color w:val="auto"/>
                <w:sz w:val="24"/>
              </w:rPr>
            </w:pPr>
            <w:r>
              <w:rPr>
                <w:rFonts w:hint="eastAsia" w:ascii="宋体" w:hAnsi="宋体" w:cs="宋体"/>
                <w:bCs/>
                <w:color w:val="auto"/>
                <w:sz w:val="24"/>
              </w:rPr>
              <w:t>一阶段组长对二阶段审核建议：</w:t>
            </w:r>
          </w:p>
          <w:p>
            <w:pPr>
              <w:spacing w:before="47" w:beforeLines="15" w:after="47" w:afterLines="15"/>
              <w:rPr>
                <w:rFonts w:ascii="宋体" w:hAnsi="宋体" w:cs="宋体"/>
                <w:bCs/>
                <w:color w:val="auto"/>
                <w:sz w:val="24"/>
              </w:rPr>
            </w:pPr>
          </w:p>
          <w:p>
            <w:pPr>
              <w:pStyle w:val="2"/>
              <w:ind w:firstLine="0" w:firstLineChars="0"/>
              <w:rPr>
                <w:rFonts w:hint="default" w:ascii="宋体" w:hAnsi="宋体" w:eastAsia="宋体" w:cs="宋体"/>
                <w:bCs/>
                <w:color w:val="auto"/>
                <w:sz w:val="24"/>
                <w:lang w:val="en-US" w:eastAsia="zh-CN"/>
              </w:rPr>
            </w:pPr>
            <w:r>
              <w:rPr>
                <w:rFonts w:hint="eastAsia" w:ascii="宋体" w:hAnsi="宋体" w:cs="宋体"/>
                <w:bCs/>
                <w:color w:val="auto"/>
                <w:sz w:val="24"/>
              </w:rPr>
              <w:t>审核组长/日期：</w:t>
            </w:r>
            <w:r>
              <w:rPr>
                <w:rFonts w:hint="eastAsia" w:ascii="宋体" w:hAnsi="宋体" w:eastAsia="宋体" w:cs="宋体"/>
                <w:bCs/>
                <w:color w:val="auto"/>
                <w:sz w:val="24"/>
                <w:lang w:eastAsia="zh-CN"/>
              </w:rPr>
              <w:pict>
                <v:shape id="_x0000_i1025" o:spt="75" alt="3.png" type="#_x0000_t75" style="height:32.15pt;width:29.55pt;" filled="f" o:preferrelative="t" stroked="f" coordsize="21600,21600">
                  <v:path/>
                  <v:fill on="f" focussize="0,0"/>
                  <v:stroke on="f"/>
                  <v:imagedata r:id="rId6" o:title="3.png"/>
                  <o:lock v:ext="edit" aspectratio="t"/>
                  <w10:wrap type="none"/>
                  <w10:anchorlock/>
                </v:shape>
              </w:pict>
            </w:r>
            <w:r>
              <w:rPr>
                <w:rFonts w:hint="eastAsia" w:ascii="宋体" w:hAnsi="宋体" w:cs="宋体"/>
                <w:bCs/>
                <w:color w:val="auto"/>
                <w:sz w:val="24"/>
                <w:lang w:val="en-US" w:eastAsia="zh-CN"/>
              </w:rPr>
              <w:t xml:space="preserve"> 2022.7.4</w:t>
            </w:r>
          </w:p>
          <w:p>
            <w:pPr>
              <w:rPr>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color w:val="auto"/>
                <w:sz w:val="24"/>
              </w:rPr>
            </w:pPr>
            <w:r>
              <w:rPr>
                <w:rFonts w:hint="eastAsia"/>
                <w:bCs/>
                <w:color w:val="auto"/>
                <w:sz w:val="24"/>
              </w:rPr>
              <w:t>审核方案</w:t>
            </w:r>
          </w:p>
          <w:p>
            <w:pPr>
              <w:jc w:val="center"/>
              <w:rPr>
                <w:bCs/>
                <w:color w:val="auto"/>
                <w:sz w:val="24"/>
              </w:rPr>
            </w:pPr>
            <w:r>
              <w:rPr>
                <w:rFonts w:hint="eastAsia"/>
                <w:bCs/>
                <w:color w:val="auto"/>
                <w:sz w:val="24"/>
              </w:rPr>
              <w:t>实施</w:t>
            </w:r>
          </w:p>
        </w:tc>
        <w:tc>
          <w:tcPr>
            <w:tcW w:w="8941" w:type="dxa"/>
            <w:gridSpan w:val="14"/>
            <w:vAlign w:val="center"/>
          </w:tcPr>
          <w:p>
            <w:pPr>
              <w:spacing w:line="400" w:lineRule="exact"/>
              <w:rPr>
                <w:rFonts w:ascii="宋体" w:hAnsi="宋体"/>
                <w:color w:val="auto"/>
                <w:sz w:val="24"/>
              </w:rPr>
            </w:pPr>
            <w:r>
              <w:rPr>
                <w:rFonts w:hint="eastAsia" w:ascii="宋体" w:hAnsi="宋体"/>
                <w:color w:val="auto"/>
                <w:sz w:val="24"/>
              </w:rPr>
              <w:t xml:space="preserve">第二阶段的说明（没有变化可不填）：人/日数□增加 □减少 </w:t>
            </w:r>
          </w:p>
          <w:p>
            <w:pPr>
              <w:spacing w:line="400" w:lineRule="exact"/>
              <w:rPr>
                <w:rFonts w:ascii="宋体" w:hAnsi="宋体"/>
                <w:color w:val="auto"/>
                <w:sz w:val="24"/>
              </w:rPr>
            </w:pPr>
            <w:r>
              <w:rPr>
                <w:rFonts w:hint="eastAsia" w:ascii="宋体" w:hAnsi="宋体"/>
                <w:color w:val="auto"/>
                <w:sz w:val="24"/>
              </w:rPr>
              <w:t>□现场情况变化：</w:t>
            </w:r>
          </w:p>
          <w:p>
            <w:pPr>
              <w:spacing w:line="400" w:lineRule="exact"/>
              <w:rPr>
                <w:bCs/>
                <w:color w:val="auto"/>
                <w:sz w:val="24"/>
              </w:rPr>
            </w:pPr>
          </w:p>
          <w:p>
            <w:pPr>
              <w:spacing w:line="400" w:lineRule="exact"/>
              <w:rPr>
                <w:rFonts w:hint="eastAsia" w:ascii="宋体" w:hAnsi="宋体"/>
                <w:color w:val="auto"/>
                <w:sz w:val="24"/>
              </w:rPr>
            </w:pPr>
            <w:r>
              <w:rPr>
                <w:rFonts w:hint="eastAsia" w:ascii="宋体" w:hAnsi="宋体"/>
                <w:color w:val="auto"/>
                <w:sz w:val="24"/>
              </w:rPr>
              <w:t xml:space="preserve">不符合 </w:t>
            </w:r>
            <w:r>
              <w:rPr>
                <w:rFonts w:hint="eastAsia" w:ascii="宋体" w:hAnsi="宋体"/>
                <w:color w:val="auto"/>
                <w:sz w:val="24"/>
                <w:lang w:val="en-US" w:eastAsia="zh-CN"/>
              </w:rPr>
              <w:t>1</w:t>
            </w:r>
            <w:r>
              <w:rPr>
                <w:rFonts w:hint="eastAsia" w:ascii="宋体" w:hAnsi="宋体"/>
                <w:color w:val="auto"/>
                <w:sz w:val="24"/>
              </w:rPr>
              <w:t xml:space="preserve">  项    分布部门：  </w:t>
            </w:r>
            <w:r>
              <w:rPr>
                <w:rFonts w:hint="eastAsia" w:ascii="宋体" w:hAnsi="宋体"/>
                <w:color w:val="auto"/>
                <w:sz w:val="24"/>
                <w:lang w:val="en-US" w:eastAsia="zh-CN"/>
              </w:rPr>
              <w:t>项目部</w:t>
            </w: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不符合标准及条款：</w:t>
            </w:r>
          </w:p>
          <w:p>
            <w:pPr>
              <w:spacing w:line="400" w:lineRule="exact"/>
              <w:rPr>
                <w:rFonts w:hint="eastAsia" w:ascii="宋体" w:hAnsi="宋体"/>
                <w:color w:val="auto"/>
                <w:sz w:val="24"/>
              </w:rPr>
            </w:pPr>
            <w:r>
              <w:rPr>
                <w:rFonts w:hint="eastAsia" w:ascii="宋体" w:hAnsi="宋体"/>
                <w:color w:val="auto"/>
                <w:sz w:val="24"/>
              </w:rPr>
              <w:t>GB/T 19001:2016 idt ISO 90</w:t>
            </w:r>
            <w:bookmarkStart w:id="18" w:name="_GoBack"/>
            <w:bookmarkEnd w:id="18"/>
            <w:r>
              <w:rPr>
                <w:rFonts w:hint="eastAsia" w:ascii="宋体" w:hAnsi="宋体"/>
                <w:color w:val="auto"/>
                <w:sz w:val="24"/>
              </w:rPr>
              <w:t xml:space="preserve">01:2015标准 </w:t>
            </w:r>
            <w:r>
              <w:rPr>
                <w:rFonts w:hint="eastAsia" w:ascii="宋体" w:hAnsi="宋体"/>
                <w:color w:val="auto"/>
                <w:sz w:val="24"/>
                <w:lang w:val="en-US" w:eastAsia="zh-CN"/>
              </w:rPr>
              <w:t>7.2</w:t>
            </w:r>
            <w:r>
              <w:rPr>
                <w:rFonts w:hint="eastAsia" w:ascii="宋体" w:hAnsi="宋体"/>
                <w:color w:val="auto"/>
                <w:sz w:val="24"/>
              </w:rPr>
              <w:t xml:space="preserve">  条款 </w:t>
            </w:r>
          </w:p>
          <w:p>
            <w:pPr>
              <w:spacing w:line="400" w:lineRule="exact"/>
              <w:rPr>
                <w:rFonts w:hint="eastAsia" w:ascii="宋体" w:hAnsi="宋体"/>
                <w:color w:val="auto"/>
                <w:sz w:val="24"/>
              </w:rPr>
            </w:pPr>
            <w:r>
              <w:rPr>
                <w:rFonts w:hint="eastAsia" w:ascii="宋体" w:hAnsi="宋体"/>
                <w:color w:val="auto"/>
                <w:sz w:val="24"/>
              </w:rPr>
              <w:t xml:space="preserve">GB/T 24001-2016 idt ISO 14001:2015标准 </w:t>
            </w:r>
            <w:r>
              <w:rPr>
                <w:rFonts w:hint="eastAsia" w:ascii="宋体" w:hAnsi="宋体"/>
                <w:color w:val="auto"/>
                <w:sz w:val="24"/>
                <w:lang w:val="en-US" w:eastAsia="zh-CN"/>
              </w:rPr>
              <w:t>7.2</w:t>
            </w:r>
            <w:r>
              <w:rPr>
                <w:rFonts w:hint="eastAsia" w:ascii="宋体" w:hAnsi="宋体"/>
                <w:color w:val="auto"/>
                <w:sz w:val="24"/>
              </w:rPr>
              <w:t xml:space="preserve">   条款</w:t>
            </w:r>
          </w:p>
          <w:p>
            <w:pPr>
              <w:spacing w:line="400" w:lineRule="exact"/>
              <w:rPr>
                <w:rFonts w:hint="eastAsia" w:ascii="宋体" w:hAnsi="宋体"/>
                <w:color w:val="auto"/>
                <w:sz w:val="24"/>
              </w:rPr>
            </w:pPr>
            <w:r>
              <w:rPr>
                <w:rFonts w:hint="eastAsia" w:ascii="宋体" w:hAnsi="宋体"/>
                <w:color w:val="auto"/>
                <w:sz w:val="24"/>
              </w:rPr>
              <w:t xml:space="preserve">GB/T 45001-2020 idt ISO45001：2018标准 </w:t>
            </w:r>
            <w:r>
              <w:rPr>
                <w:rFonts w:hint="eastAsia" w:ascii="宋体" w:hAnsi="宋体"/>
                <w:color w:val="auto"/>
                <w:sz w:val="24"/>
                <w:lang w:val="en-US" w:eastAsia="zh-CN"/>
              </w:rPr>
              <w:t>7.2</w:t>
            </w:r>
            <w:r>
              <w:rPr>
                <w:rFonts w:hint="eastAsia" w:ascii="宋体" w:hAnsi="宋体"/>
                <w:color w:val="auto"/>
                <w:sz w:val="24"/>
              </w:rPr>
              <w:t xml:space="preserve">  条款相关要求 </w:t>
            </w:r>
          </w:p>
          <w:p>
            <w:pPr>
              <w:spacing w:line="400" w:lineRule="exact"/>
              <w:rPr>
                <w:bCs/>
                <w:color w:val="auto"/>
                <w:sz w:val="24"/>
                <w:highlight w:val="red"/>
              </w:rPr>
            </w:pPr>
          </w:p>
          <w:p>
            <w:pPr>
              <w:spacing w:line="400" w:lineRule="exact"/>
              <w:rPr>
                <w:bCs/>
                <w:color w:val="auto"/>
                <w:sz w:val="24"/>
              </w:rPr>
            </w:pPr>
            <w:r>
              <w:rPr>
                <w:bCs/>
                <w:color w:val="auto"/>
                <w:sz w:val="24"/>
              </w:rPr>
              <w:t>不符合性质</w:t>
            </w:r>
            <w:r>
              <w:rPr>
                <w:rFonts w:hint="eastAsia"/>
                <w:bCs/>
                <w:color w:val="auto"/>
                <w:sz w:val="24"/>
              </w:rPr>
              <w:t>：</w:t>
            </w:r>
            <w:r>
              <w:rPr>
                <w:rFonts w:hint="eastAsia" w:ascii="宋体" w:hAnsi="宋体" w:eastAsia="宋体" w:cs="宋体"/>
                <w:bCs/>
                <w:color w:val="auto"/>
                <w:sz w:val="24"/>
              </w:rPr>
              <w:t>■</w:t>
            </w:r>
            <w:r>
              <w:rPr>
                <w:rFonts w:hint="eastAsia"/>
                <w:bCs/>
                <w:color w:val="auto"/>
                <w:sz w:val="24"/>
              </w:rPr>
              <w:t>一般不符合   □严重不符合</w:t>
            </w:r>
          </w:p>
          <w:p>
            <w:pPr>
              <w:pStyle w:val="2"/>
              <w:ind w:firstLine="0" w:firstLineChars="0"/>
              <w:rPr>
                <w:bCs/>
                <w:color w:val="auto"/>
                <w:sz w:val="24"/>
              </w:rPr>
            </w:pPr>
          </w:p>
          <w:p>
            <w:pPr>
              <w:spacing w:line="240" w:lineRule="atLeast"/>
              <w:rPr>
                <w:rFonts w:ascii="宋体" w:hAnsi="宋体"/>
                <w:color w:val="auto"/>
                <w:sz w:val="24"/>
                <w:u w:val="single"/>
              </w:rPr>
            </w:pPr>
            <w:r>
              <w:rPr>
                <w:rFonts w:hint="eastAsia" w:ascii="宋体" w:hAnsi="宋体"/>
                <w:color w:val="auto"/>
                <w:sz w:val="24"/>
              </w:rPr>
              <w:t>审核范围变化(需要时)：</w:t>
            </w:r>
          </w:p>
          <w:p>
            <w:pPr>
              <w:spacing w:line="240" w:lineRule="atLeast"/>
              <w:rPr>
                <w:rFonts w:ascii="宋体" w:hAnsi="宋体"/>
                <w:color w:val="auto"/>
                <w:sz w:val="24"/>
              </w:rPr>
            </w:pPr>
            <w:r>
              <w:rPr>
                <w:rFonts w:hint="eastAsia" w:ascii="宋体" w:hAnsi="宋体"/>
                <w:color w:val="auto"/>
                <w:sz w:val="24"/>
              </w:rPr>
              <w:t>□是 □否</w:t>
            </w:r>
            <w:r>
              <w:rPr>
                <w:rFonts w:hint="eastAsia" w:ascii="宋体" w:hAnsi="宋体"/>
                <w:color w:val="auto"/>
                <w:sz w:val="24"/>
                <w:lang w:val="en-US" w:eastAsia="zh-CN"/>
              </w:rPr>
              <w:t xml:space="preserve"> </w:t>
            </w:r>
            <w:r>
              <w:rPr>
                <w:rFonts w:hint="eastAsia" w:ascii="宋体" w:hAnsi="宋体"/>
                <w:color w:val="auto"/>
                <w:sz w:val="24"/>
              </w:rPr>
              <w:t>专业能力满足要求：□是 □否人/日数满足要求，审核计划 □是  □否合理</w:t>
            </w:r>
          </w:p>
          <w:p>
            <w:pPr>
              <w:spacing w:line="300" w:lineRule="auto"/>
              <w:rPr>
                <w:rFonts w:ascii="宋体" w:hAnsi="宋体"/>
                <w:color w:val="auto"/>
                <w:sz w:val="24"/>
                <w:u w:val="single"/>
              </w:rPr>
            </w:pPr>
            <w:r>
              <w:rPr>
                <w:rFonts w:hint="eastAsia" w:ascii="宋体" w:hAnsi="宋体"/>
                <w:color w:val="auto"/>
                <w:sz w:val="24"/>
              </w:rPr>
              <w:t>下次审核建议：</w:t>
            </w:r>
          </w:p>
          <w:p>
            <w:pPr>
              <w:pStyle w:val="2"/>
              <w:ind w:firstLine="0" w:firstLineChars="0"/>
              <w:rPr>
                <w:rFonts w:ascii="宋体" w:hAnsi="宋体" w:cs="宋体"/>
                <w:bCs/>
                <w:color w:val="auto"/>
                <w:sz w:val="24"/>
              </w:rPr>
            </w:pPr>
            <w:r>
              <w:rPr>
                <w:rFonts w:hint="eastAsia" w:ascii="宋体" w:hAnsi="宋体" w:cs="宋体"/>
                <w:bCs/>
                <w:color w:val="auto"/>
                <w:sz w:val="24"/>
              </w:rPr>
              <w:t>远程审核（适用时）：</w:t>
            </w:r>
          </w:p>
          <w:p>
            <w:pPr>
              <w:pStyle w:val="2"/>
              <w:ind w:firstLine="0" w:firstLineChars="0"/>
              <w:rPr>
                <w:rFonts w:ascii="宋体" w:hAnsi="宋体" w:cs="宋体"/>
                <w:bCs/>
                <w:color w:val="auto"/>
                <w:sz w:val="24"/>
              </w:rPr>
            </w:pPr>
            <w:r>
              <w:rPr>
                <w:rFonts w:hint="eastAsia" w:ascii="宋体" w:hAnsi="宋体" w:cs="宋体"/>
                <w:bCs/>
                <w:color w:val="auto"/>
                <w:sz w:val="24"/>
              </w:rPr>
              <w:t xml:space="preserve">已安排的远程审核是否完成   □是    □否 </w:t>
            </w:r>
          </w:p>
          <w:p>
            <w:pPr>
              <w:pStyle w:val="2"/>
              <w:ind w:firstLine="0" w:firstLineChars="0"/>
              <w:rPr>
                <w:rFonts w:ascii="宋体" w:hAnsi="宋体" w:cs="宋体"/>
                <w:bCs/>
                <w:color w:val="auto"/>
                <w:sz w:val="24"/>
              </w:rPr>
            </w:pPr>
            <w:r>
              <w:rPr>
                <w:rFonts w:hint="eastAsia" w:ascii="宋体" w:hAnsi="宋体" w:cs="宋体"/>
                <w:bCs/>
                <w:color w:val="auto"/>
                <w:sz w:val="24"/>
              </w:rPr>
              <w:t xml:space="preserve">本次远程活动中，是否实现审核目标     □是    □否 </w:t>
            </w:r>
          </w:p>
          <w:p>
            <w:pPr>
              <w:pStyle w:val="2"/>
              <w:ind w:firstLine="0" w:firstLineChars="0"/>
              <w:rPr>
                <w:rFonts w:ascii="宋体" w:hAnsi="宋体" w:cs="宋体"/>
                <w:bCs/>
                <w:color w:val="auto"/>
                <w:sz w:val="24"/>
              </w:rPr>
            </w:pPr>
            <w:r>
              <w:rPr>
                <w:rFonts w:hint="eastAsia" w:ascii="宋体" w:hAnsi="宋体" w:cs="宋体"/>
                <w:bCs/>
                <w:color w:val="auto"/>
                <w:sz w:val="24"/>
              </w:rPr>
              <w:t>审核结论</w:t>
            </w:r>
          </w:p>
          <w:p>
            <w:pPr>
              <w:spacing w:line="400" w:lineRule="exact"/>
              <w:rPr>
                <w:rFonts w:ascii="宋体" w:hAnsi="宋体"/>
                <w:color w:val="auto"/>
                <w:sz w:val="24"/>
              </w:rPr>
            </w:pPr>
            <w:r>
              <w:rPr>
                <w:rFonts w:hint="eastAsia" w:ascii="宋体" w:hAnsi="宋体" w:eastAsia="宋体" w:cs="宋体"/>
                <w:color w:val="auto"/>
                <w:sz w:val="24"/>
              </w:rPr>
              <w:t>■</w:t>
            </w:r>
            <w:r>
              <w:rPr>
                <w:rFonts w:hint="eastAsia" w:ascii="宋体" w:hAnsi="宋体"/>
                <w:color w:val="auto"/>
                <w:sz w:val="24"/>
              </w:rPr>
              <w:t xml:space="preserve">推荐认证注册  </w:t>
            </w:r>
            <w:r>
              <w:rPr>
                <w:rFonts w:hint="eastAsia" w:ascii="宋体" w:hAnsi="宋体" w:eastAsia="宋体" w:cs="宋体"/>
                <w:color w:val="auto"/>
                <w:sz w:val="24"/>
              </w:rPr>
              <w:t>■</w:t>
            </w:r>
            <w:r>
              <w:rPr>
                <w:rFonts w:hint="eastAsia" w:ascii="宋体" w:hAnsi="宋体"/>
                <w:color w:val="auto"/>
                <w:sz w:val="24"/>
              </w:rPr>
              <w:t xml:space="preserve">QMS </w:t>
            </w:r>
            <w:r>
              <w:rPr>
                <w:rFonts w:hint="eastAsia" w:ascii="宋体" w:hAnsi="宋体" w:eastAsia="宋体" w:cs="宋体"/>
                <w:color w:val="auto"/>
                <w:sz w:val="24"/>
              </w:rPr>
              <w:t>■</w:t>
            </w:r>
            <w:r>
              <w:rPr>
                <w:rFonts w:hint="eastAsia" w:ascii="宋体" w:hAnsi="宋体"/>
                <w:color w:val="auto"/>
                <w:sz w:val="24"/>
              </w:rPr>
              <w:t xml:space="preserve">EMS </w:t>
            </w:r>
            <w:r>
              <w:rPr>
                <w:rFonts w:hint="eastAsia" w:ascii="宋体" w:hAnsi="宋体" w:eastAsia="宋体" w:cs="宋体"/>
                <w:color w:val="auto"/>
                <w:sz w:val="24"/>
              </w:rPr>
              <w:t>■</w:t>
            </w:r>
            <w:r>
              <w:rPr>
                <w:rFonts w:hint="eastAsia" w:ascii="宋体" w:hAnsi="宋体"/>
                <w:color w:val="auto"/>
                <w:sz w:val="24"/>
              </w:rPr>
              <w:t>OHSMS □其他</w:t>
            </w:r>
          </w:p>
          <w:p>
            <w:pPr>
              <w:spacing w:line="400" w:lineRule="exact"/>
              <w:rPr>
                <w:rFonts w:ascii="宋体" w:hAnsi="宋体"/>
                <w:color w:val="auto"/>
                <w:sz w:val="24"/>
              </w:rPr>
            </w:pPr>
            <w:r>
              <w:rPr>
                <w:rFonts w:hint="eastAsia" w:ascii="宋体" w:hAnsi="宋体"/>
                <w:color w:val="auto"/>
                <w:sz w:val="24"/>
              </w:rPr>
              <w:t>□延期推荐认证注册□QMS □EMS □OHSMS □其他</w:t>
            </w:r>
          </w:p>
          <w:p>
            <w:pPr>
              <w:rPr>
                <w:color w:val="auto"/>
                <w:sz w:val="24"/>
              </w:rPr>
            </w:pPr>
            <w:r>
              <w:rPr>
                <w:rFonts w:hint="eastAsia" w:ascii="宋体" w:hAnsi="宋体"/>
                <w:color w:val="auto"/>
                <w:sz w:val="24"/>
              </w:rPr>
              <w:t>□不推荐认证注册  □QMS □EMS □OHSMS□其他</w:t>
            </w:r>
          </w:p>
          <w:p>
            <w:pPr>
              <w:pStyle w:val="2"/>
              <w:ind w:firstLine="0" w:firstLineChars="0"/>
              <w:rPr>
                <w:bCs/>
                <w:color w:val="auto"/>
                <w:sz w:val="24"/>
              </w:rPr>
            </w:pPr>
          </w:p>
          <w:p>
            <w:pPr>
              <w:pStyle w:val="2"/>
              <w:ind w:firstLine="0" w:firstLineChars="0"/>
              <w:rPr>
                <w:rFonts w:ascii="宋体" w:hAnsi="宋体" w:cs="宋体"/>
                <w:bCs/>
                <w:color w:val="auto"/>
                <w:sz w:val="24"/>
              </w:rPr>
            </w:pPr>
            <w:r>
              <w:rPr>
                <w:rFonts w:hint="eastAsia" w:ascii="宋体" w:hAnsi="宋体" w:cs="宋体"/>
                <w:bCs/>
                <w:color w:val="auto"/>
                <w:sz w:val="24"/>
              </w:rPr>
              <w:t>审核组长/日期：</w:t>
            </w:r>
            <w:r>
              <w:rPr>
                <w:rFonts w:hint="eastAsia" w:ascii="宋体" w:hAnsi="宋体" w:eastAsia="宋体" w:cs="宋体"/>
                <w:bCs/>
                <w:color w:val="auto"/>
                <w:sz w:val="24"/>
                <w:lang w:eastAsia="zh-CN"/>
              </w:rPr>
              <w:pict>
                <v:shape id="_x0000_i1026" o:spt="75" alt="3.png" type="#_x0000_t75" style="height:32.15pt;width:29.55pt;" filled="f" o:preferrelative="t" stroked="f" coordsize="21600,21600">
                  <v:path/>
                  <v:fill on="f" focussize="0,0"/>
                  <v:stroke on="f"/>
                  <v:imagedata r:id="rId6" o:title="3.png"/>
                  <o:lock v:ext="edit" aspectratio="t"/>
                  <w10:wrap type="none"/>
                  <w10:anchorlock/>
                </v:shape>
              </w:pict>
            </w:r>
            <w:r>
              <w:rPr>
                <w:rFonts w:hint="eastAsia" w:ascii="宋体" w:hAnsi="宋体" w:cs="宋体"/>
                <w:bCs/>
                <w:color w:val="auto"/>
                <w:sz w:val="24"/>
                <w:lang w:val="en-US" w:eastAsia="zh-CN"/>
              </w:rPr>
              <w:t>2022.7.7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color w:val="auto"/>
                <w:sz w:val="24"/>
              </w:rPr>
            </w:pPr>
            <w:r>
              <w:rPr>
                <w:rFonts w:hint="eastAsia"/>
                <w:bCs/>
                <w:color w:val="auto"/>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4"/>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4"/>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color w:val="auto"/>
                <w:sz w:val="24"/>
              </w:rPr>
            </w:pPr>
            <w:r>
              <w:rPr>
                <w:rFonts w:hint="eastAsia"/>
                <w:bCs/>
                <w:color w:val="auto"/>
                <w:sz w:val="24"/>
              </w:rPr>
              <w:t>审核方案实施及结论</w:t>
            </w:r>
          </w:p>
        </w:tc>
        <w:tc>
          <w:tcPr>
            <w:tcW w:w="8941" w:type="dxa"/>
            <w:gridSpan w:val="14"/>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color w:val="auto"/>
                <w:sz w:val="24"/>
              </w:rPr>
            </w:pPr>
          </w:p>
        </w:tc>
        <w:tc>
          <w:tcPr>
            <w:tcW w:w="8941" w:type="dxa"/>
            <w:gridSpan w:val="14"/>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hAnsi="宋体" w:cs="宋体"/>
                <w:bCs/>
                <w:color w:val="auto"/>
                <w:sz w:val="24"/>
              </w:rPr>
            </w:pPr>
            <w:r>
              <w:rPr>
                <w:rFonts w:hint="eastAsia" w:ascii="宋体" w:hAnsi="宋体" w:cs="宋体"/>
                <w:bCs/>
                <w:color w:val="auto"/>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color w:val="auto"/>
                <w:sz w:val="24"/>
              </w:rPr>
            </w:pPr>
            <w:r>
              <w:rPr>
                <w:rFonts w:hint="eastAsia"/>
                <w:bCs/>
                <w:color w:val="auto"/>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4"/>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4"/>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auto"/>
                <w:sz w:val="24"/>
              </w:rPr>
            </w:pPr>
            <w:r>
              <w:rPr>
                <w:rFonts w:hint="eastAsia"/>
                <w:bCs/>
                <w:color w:val="auto"/>
                <w:sz w:val="24"/>
              </w:rPr>
              <w:t>审核方案实施及结论</w:t>
            </w:r>
          </w:p>
        </w:tc>
        <w:tc>
          <w:tcPr>
            <w:tcW w:w="8941" w:type="dxa"/>
            <w:gridSpan w:val="14"/>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color w:val="auto"/>
                <w:sz w:val="24"/>
              </w:rPr>
            </w:pPr>
          </w:p>
        </w:tc>
        <w:tc>
          <w:tcPr>
            <w:tcW w:w="8941" w:type="dxa"/>
            <w:gridSpan w:val="14"/>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bCs/>
                <w:color w:val="auto"/>
                <w:sz w:val="24"/>
              </w:rPr>
            </w:pPr>
            <w:r>
              <w:rPr>
                <w:rFonts w:hint="eastAsia" w:ascii="宋体" w:hAnsi="宋体" w:cs="宋体"/>
                <w:bCs/>
                <w:color w:val="auto"/>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color w:val="auto"/>
                <w:sz w:val="24"/>
              </w:rPr>
            </w:pPr>
            <w:r>
              <w:rPr>
                <w:rFonts w:hint="eastAsia"/>
                <w:bCs/>
                <w:color w:val="auto"/>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4"/>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4"/>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color w:val="auto"/>
                <w:sz w:val="24"/>
              </w:rPr>
            </w:pPr>
            <w:r>
              <w:rPr>
                <w:rFonts w:hint="eastAsia"/>
                <w:bCs/>
                <w:color w:val="auto"/>
                <w:sz w:val="24"/>
              </w:rPr>
              <w:t>审核方案实施及结论</w:t>
            </w:r>
          </w:p>
        </w:tc>
        <w:tc>
          <w:tcPr>
            <w:tcW w:w="8941" w:type="dxa"/>
            <w:gridSpan w:val="14"/>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color w:val="auto"/>
                <w:sz w:val="24"/>
              </w:rPr>
            </w:pPr>
          </w:p>
        </w:tc>
        <w:tc>
          <w:tcPr>
            <w:tcW w:w="8941" w:type="dxa"/>
            <w:gridSpan w:val="14"/>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bCs/>
                <w:color w:val="auto"/>
                <w:sz w:val="24"/>
              </w:rPr>
            </w:pPr>
            <w:r>
              <w:rPr>
                <w:rFonts w:hint="eastAsia" w:ascii="宋体" w:hAnsi="宋体" w:cs="宋体"/>
                <w:bCs/>
                <w:color w:val="auto"/>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2Y2I4MGM4MDY5MTkxYTc1OWQ2YWJkMDM4MmZjZTIifQ=="/>
  </w:docVars>
  <w:rsids>
    <w:rsidRoot w:val="00000000"/>
    <w:rsid w:val="0D34525C"/>
    <w:rsid w:val="382E3981"/>
    <w:rsid w:val="4BA7311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1805</Words>
  <Characters>2152</Characters>
  <Lines>16</Lines>
  <Paragraphs>4</Paragraphs>
  <TotalTime>0</TotalTime>
  <ScaleCrop>false</ScaleCrop>
  <LinksUpToDate>false</LinksUpToDate>
  <CharactersWithSpaces>2663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2022-07-07T06:48:26Z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