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山东绿清源再生资源有限公司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ascii="宋体" w:hAnsi="宋体"/>
                <w:b w:val="0"/>
                <w:bCs/>
                <w:sz w:val="21"/>
                <w:szCs w:val="21"/>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0764-2021-Q-2022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王明国</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ISC-JSZJ-351</w:t>
            </w:r>
          </w:p>
          <w:p>
            <w:pPr>
              <w:jc w:val="center"/>
              <w:rPr>
                <w:rFonts w:ascii="Times New Roman" w:hAnsi="Times New Roman" w:eastAsia="宋体" w:cs="Times New Roman"/>
                <w:kern w:val="2"/>
                <w:sz w:val="20"/>
                <w:lang w:val="de-DE" w:eastAsia="zh-CN" w:bidi="ar-SA"/>
              </w:rPr>
            </w:pPr>
            <w:r>
              <w:rPr>
                <w:sz w:val="20"/>
                <w:lang w:val="de-DE"/>
              </w:rPr>
              <w:t>山东元唐企业管理咨询有限公司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100" w:firstLineChars="500"/>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4" w:name="_GoBack"/>
            <w:bookmarkEnd w:id="1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00720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651</Characters>
  <Lines>5</Lines>
  <Paragraphs>1</Paragraphs>
  <TotalTime>1</TotalTime>
  <ScaleCrop>false</ScaleCrop>
  <LinksUpToDate>false</LinksUpToDate>
  <CharactersWithSpaces>676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2022-07-01T04:44:31Z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